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39E3" w14:textId="77777777" w:rsidR="00D5547E" w:rsidRPr="003A6895" w:rsidRDefault="003A6895" w:rsidP="003A6895">
      <w:pPr>
        <w:ind w:firstLine="284"/>
        <w:rPr>
          <w:b/>
          <w:sz w:val="28"/>
        </w:rPr>
      </w:pPr>
      <w:r w:rsidRPr="003A6895">
        <w:rPr>
          <w:b/>
          <w:sz w:val="28"/>
        </w:rPr>
        <w:t>DRAFT</w:t>
      </w:r>
    </w:p>
    <w:tbl>
      <w:tblPr>
        <w:tblW w:w="0" w:type="auto"/>
        <w:tblInd w:w="108" w:type="dxa"/>
        <w:tblLayout w:type="fixed"/>
        <w:tblLook w:val="04A0" w:firstRow="1" w:lastRow="0" w:firstColumn="1" w:lastColumn="0" w:noHBand="0" w:noVBand="1"/>
      </w:tblPr>
      <w:tblGrid>
        <w:gridCol w:w="2438"/>
        <w:gridCol w:w="6406"/>
      </w:tblGrid>
      <w:tr w:rsidR="00CE544A" w:rsidRPr="00975B07" w14:paraId="66887BFD" w14:textId="77777777" w:rsidTr="005F7F7E">
        <w:tc>
          <w:tcPr>
            <w:tcW w:w="2438" w:type="dxa"/>
            <w:shd w:val="clear" w:color="auto" w:fill="auto"/>
          </w:tcPr>
          <w:p w14:paraId="10F992B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17DEA0B" w14:textId="77777777" w:rsidR="00F445B1" w:rsidRPr="00F95BC9" w:rsidRDefault="00F445B1" w:rsidP="00F6310A">
            <w:pPr>
              <w:rPr>
                <w:rStyle w:val="Firstpagetablebold"/>
              </w:rPr>
            </w:pPr>
            <w:r w:rsidRPr="00F95BC9">
              <w:rPr>
                <w:rStyle w:val="Firstpagetablebold"/>
              </w:rPr>
              <w:t>C</w:t>
            </w:r>
            <w:r w:rsidR="00F6310A">
              <w:rPr>
                <w:rStyle w:val="Firstpagetablebold"/>
              </w:rPr>
              <w:t>ouncil</w:t>
            </w:r>
          </w:p>
        </w:tc>
      </w:tr>
      <w:tr w:rsidR="00CE544A" w:rsidRPr="00975B07" w14:paraId="066884F8" w14:textId="77777777" w:rsidTr="005F7F7E">
        <w:tc>
          <w:tcPr>
            <w:tcW w:w="2438" w:type="dxa"/>
            <w:shd w:val="clear" w:color="auto" w:fill="auto"/>
          </w:tcPr>
          <w:p w14:paraId="1D098A8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213386E" w14:textId="77777777" w:rsidR="00F445B1" w:rsidRPr="001356F1" w:rsidRDefault="0059784C" w:rsidP="00C51932">
            <w:pPr>
              <w:rPr>
                <w:b/>
              </w:rPr>
            </w:pPr>
            <w:r>
              <w:rPr>
                <w:rStyle w:val="Firstpagetablebold"/>
              </w:rPr>
              <w:t>21 March</w:t>
            </w:r>
            <w:r w:rsidR="00C95E1A">
              <w:rPr>
                <w:rStyle w:val="Firstpagetablebold"/>
              </w:rPr>
              <w:t xml:space="preserve"> 202</w:t>
            </w:r>
            <w:r w:rsidR="00607003">
              <w:rPr>
                <w:rStyle w:val="Firstpagetablebold"/>
              </w:rPr>
              <w:t>2</w:t>
            </w:r>
          </w:p>
        </w:tc>
      </w:tr>
      <w:tr w:rsidR="00CE544A" w:rsidRPr="00975B07" w14:paraId="14810A19" w14:textId="77777777" w:rsidTr="005F7F7E">
        <w:tc>
          <w:tcPr>
            <w:tcW w:w="2438" w:type="dxa"/>
            <w:shd w:val="clear" w:color="auto" w:fill="auto"/>
          </w:tcPr>
          <w:p w14:paraId="72C1C9A0"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F60ED6C" w14:textId="77777777" w:rsidR="00F445B1" w:rsidRPr="001356F1" w:rsidRDefault="00F6310A" w:rsidP="004A6D2F">
            <w:pPr>
              <w:rPr>
                <w:rStyle w:val="Firstpagetablebold"/>
              </w:rPr>
            </w:pPr>
            <w:r>
              <w:rPr>
                <w:rStyle w:val="Firstpagetablebold"/>
              </w:rPr>
              <w:t>Head of Law and Governance</w:t>
            </w:r>
          </w:p>
        </w:tc>
      </w:tr>
      <w:tr w:rsidR="00CE544A" w:rsidRPr="00975B07" w14:paraId="79967D15" w14:textId="77777777" w:rsidTr="005F7F7E">
        <w:tc>
          <w:tcPr>
            <w:tcW w:w="2438" w:type="dxa"/>
            <w:shd w:val="clear" w:color="auto" w:fill="auto"/>
          </w:tcPr>
          <w:p w14:paraId="356D2DF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888F7C8" w14:textId="77777777" w:rsidR="00F445B1" w:rsidRPr="001356F1" w:rsidRDefault="00F6310A" w:rsidP="00E775D9">
            <w:pPr>
              <w:rPr>
                <w:rStyle w:val="Firstpagetablebold"/>
              </w:rPr>
            </w:pPr>
            <w:r>
              <w:rPr>
                <w:rStyle w:val="Firstpagetablebold"/>
              </w:rPr>
              <w:t xml:space="preserve">Constitution Review </w:t>
            </w:r>
            <w:r w:rsidR="00607003">
              <w:rPr>
                <w:rStyle w:val="Firstpagetablebold"/>
              </w:rPr>
              <w:t>2021</w:t>
            </w:r>
            <w:r w:rsidR="00E775D9">
              <w:rPr>
                <w:rStyle w:val="Firstpagetablebold"/>
              </w:rPr>
              <w:t>-22</w:t>
            </w:r>
          </w:p>
        </w:tc>
      </w:tr>
    </w:tbl>
    <w:p w14:paraId="1D498F22"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1"/>
        <w:gridCol w:w="1847"/>
        <w:gridCol w:w="6407"/>
      </w:tblGrid>
      <w:tr w:rsidR="00D5547E" w14:paraId="16107A8C" w14:textId="77777777" w:rsidTr="0080749A">
        <w:tc>
          <w:tcPr>
            <w:tcW w:w="8845" w:type="dxa"/>
            <w:gridSpan w:val="3"/>
            <w:tcBorders>
              <w:bottom w:val="single" w:sz="8" w:space="0" w:color="000000"/>
            </w:tcBorders>
            <w:hideMark/>
          </w:tcPr>
          <w:p w14:paraId="2A04D29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597F31" w14:textId="77777777" w:rsidTr="0080749A">
        <w:tc>
          <w:tcPr>
            <w:tcW w:w="2438" w:type="dxa"/>
            <w:gridSpan w:val="2"/>
            <w:tcBorders>
              <w:top w:val="single" w:sz="8" w:space="0" w:color="000000"/>
              <w:left w:val="single" w:sz="8" w:space="0" w:color="000000"/>
              <w:bottom w:val="nil"/>
              <w:right w:val="nil"/>
            </w:tcBorders>
            <w:hideMark/>
          </w:tcPr>
          <w:p w14:paraId="113A187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CC94B45" w14:textId="77777777" w:rsidR="00D5547E" w:rsidRPr="001356F1" w:rsidRDefault="00F6310A" w:rsidP="00F6310A">
            <w:r>
              <w:t>This report recommends changes to the Council’s Constitution following an annual review of the Constitution overseen by a “Cross-Party Constitution Group”.</w:t>
            </w:r>
          </w:p>
        </w:tc>
      </w:tr>
      <w:tr w:rsidR="00D5547E" w14:paraId="77A7FE88" w14:textId="77777777" w:rsidTr="0080749A">
        <w:tc>
          <w:tcPr>
            <w:tcW w:w="2438" w:type="dxa"/>
            <w:gridSpan w:val="2"/>
            <w:tcBorders>
              <w:top w:val="nil"/>
              <w:left w:val="single" w:sz="8" w:space="0" w:color="000000"/>
              <w:bottom w:val="nil"/>
              <w:right w:val="nil"/>
            </w:tcBorders>
            <w:hideMark/>
          </w:tcPr>
          <w:p w14:paraId="71714EA5"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2E2F399" w14:textId="77777777" w:rsidR="00D5547E" w:rsidRPr="001356F1" w:rsidRDefault="00F6310A" w:rsidP="005F7F7E">
            <w:r>
              <w:t>No</w:t>
            </w:r>
          </w:p>
        </w:tc>
      </w:tr>
      <w:tr w:rsidR="00D5547E" w14:paraId="2F913878" w14:textId="77777777" w:rsidTr="0080749A">
        <w:tc>
          <w:tcPr>
            <w:tcW w:w="2438" w:type="dxa"/>
            <w:gridSpan w:val="2"/>
            <w:tcBorders>
              <w:top w:val="nil"/>
              <w:left w:val="single" w:sz="8" w:space="0" w:color="000000"/>
              <w:bottom w:val="nil"/>
              <w:right w:val="nil"/>
            </w:tcBorders>
            <w:hideMark/>
          </w:tcPr>
          <w:p w14:paraId="02DCB254" w14:textId="77777777" w:rsidR="00D5547E" w:rsidRDefault="005620B4">
            <w:pPr>
              <w:rPr>
                <w:rStyle w:val="Firstpagetablebold"/>
              </w:rPr>
            </w:pPr>
            <w:r>
              <w:rPr>
                <w:rStyle w:val="Firstpagetablebold"/>
              </w:rPr>
              <w:t>Lead</w:t>
            </w:r>
            <w:r w:rsidR="00D5547E">
              <w:rPr>
                <w:rStyle w:val="Firstpagetablebold"/>
              </w:rPr>
              <w:t xml:space="preserve"> Member:</w:t>
            </w:r>
          </w:p>
        </w:tc>
        <w:tc>
          <w:tcPr>
            <w:tcW w:w="6407" w:type="dxa"/>
            <w:tcBorders>
              <w:top w:val="nil"/>
              <w:left w:val="nil"/>
              <w:bottom w:val="nil"/>
              <w:right w:val="single" w:sz="8" w:space="0" w:color="000000"/>
            </w:tcBorders>
            <w:hideMark/>
          </w:tcPr>
          <w:p w14:paraId="67B1EAFF" w14:textId="77777777" w:rsidR="00D5547E" w:rsidRPr="001356F1" w:rsidRDefault="00D5547E" w:rsidP="00607003">
            <w:r w:rsidRPr="001356F1">
              <w:t xml:space="preserve">Councillor </w:t>
            </w:r>
            <w:r w:rsidR="00607003">
              <w:t xml:space="preserve">Susan Brown, </w:t>
            </w:r>
            <w:r w:rsidR="00607003" w:rsidRPr="00607003">
              <w:t>Leader, and Cabinet Member for Inclusive Growth, Economic Recovery, and Partnerships</w:t>
            </w:r>
            <w:r w:rsidR="00607003">
              <w:t xml:space="preserve"> </w:t>
            </w:r>
          </w:p>
        </w:tc>
      </w:tr>
      <w:tr w:rsidR="0080749A" w14:paraId="5393BB4B" w14:textId="77777777" w:rsidTr="0080749A">
        <w:tc>
          <w:tcPr>
            <w:tcW w:w="2438" w:type="dxa"/>
            <w:gridSpan w:val="2"/>
            <w:tcBorders>
              <w:top w:val="nil"/>
              <w:left w:val="single" w:sz="8" w:space="0" w:color="000000"/>
              <w:bottom w:val="nil"/>
              <w:right w:val="nil"/>
            </w:tcBorders>
          </w:tcPr>
          <w:p w14:paraId="7130196D"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5D4C4F86" w14:textId="77777777" w:rsidR="0080749A" w:rsidRPr="001356F1" w:rsidRDefault="00F6310A" w:rsidP="005F7F7E">
            <w:r>
              <w:t>N/A</w:t>
            </w:r>
          </w:p>
        </w:tc>
      </w:tr>
      <w:tr w:rsidR="00D5547E" w14:paraId="196A10F4" w14:textId="77777777" w:rsidTr="0080749A">
        <w:tc>
          <w:tcPr>
            <w:tcW w:w="2438" w:type="dxa"/>
            <w:gridSpan w:val="2"/>
            <w:tcBorders>
              <w:top w:val="nil"/>
              <w:left w:val="single" w:sz="8" w:space="0" w:color="000000"/>
              <w:bottom w:val="nil"/>
              <w:right w:val="nil"/>
            </w:tcBorders>
            <w:hideMark/>
          </w:tcPr>
          <w:p w14:paraId="65851080"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CD6D9B0" w14:textId="77777777" w:rsidR="00D5547E" w:rsidRPr="001356F1" w:rsidRDefault="00F6310A" w:rsidP="005F7F7E">
            <w:r>
              <w:t>N/</w:t>
            </w:r>
            <w:r w:rsidR="003F251A">
              <w:t>A</w:t>
            </w:r>
          </w:p>
        </w:tc>
      </w:tr>
      <w:tr w:rsidR="005F7F7E" w:rsidRPr="00975B07" w14:paraId="7E7610F2" w14:textId="77777777" w:rsidTr="00916D33">
        <w:trPr>
          <w:trHeight w:val="413"/>
        </w:trPr>
        <w:tc>
          <w:tcPr>
            <w:tcW w:w="8845" w:type="dxa"/>
            <w:gridSpan w:val="3"/>
            <w:tcBorders>
              <w:bottom w:val="single" w:sz="8" w:space="0" w:color="000000"/>
            </w:tcBorders>
          </w:tcPr>
          <w:p w14:paraId="15191638" w14:textId="77777777" w:rsidR="005F7F7E" w:rsidRPr="00975B07" w:rsidRDefault="00342E15" w:rsidP="00D21514">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F6310A">
              <w:rPr>
                <w:rStyle w:val="Firstpagetablebold"/>
              </w:rPr>
              <w:t>Council</w:t>
            </w:r>
            <w:r w:rsidR="005F7F7E">
              <w:rPr>
                <w:rStyle w:val="Firstpagetablebold"/>
              </w:rPr>
              <w:t xml:space="preserve"> resolves to:</w:t>
            </w:r>
          </w:p>
        </w:tc>
      </w:tr>
      <w:tr w:rsidR="0030208D" w:rsidRPr="00975B07" w14:paraId="44C7C884" w14:textId="77777777" w:rsidTr="00997B37">
        <w:trPr>
          <w:trHeight w:val="551"/>
        </w:trPr>
        <w:tc>
          <w:tcPr>
            <w:tcW w:w="591" w:type="dxa"/>
            <w:tcBorders>
              <w:top w:val="single" w:sz="8" w:space="0" w:color="000000"/>
              <w:left w:val="single" w:sz="8" w:space="0" w:color="000000"/>
              <w:bottom w:val="nil"/>
              <w:right w:val="nil"/>
            </w:tcBorders>
          </w:tcPr>
          <w:p w14:paraId="0C7A077B" w14:textId="407DA55E" w:rsidR="003846A1" w:rsidRDefault="00046D2B" w:rsidP="003846A1">
            <w:pPr>
              <w:spacing w:after="0"/>
            </w:pPr>
            <w:r w:rsidRPr="00975B07">
              <w:t>1.</w:t>
            </w:r>
          </w:p>
          <w:p w14:paraId="36A93130" w14:textId="77777777" w:rsidR="003846A1" w:rsidRDefault="003846A1" w:rsidP="003846A1"/>
          <w:p w14:paraId="5F0D237E" w14:textId="77777777" w:rsidR="00404DC2" w:rsidRDefault="00404DC2" w:rsidP="00404DC2">
            <w:pPr>
              <w:spacing w:after="0"/>
            </w:pPr>
          </w:p>
          <w:p w14:paraId="74B28244" w14:textId="4136A6E4" w:rsidR="003846A1" w:rsidRDefault="00997B37" w:rsidP="003846A1">
            <w:pPr>
              <w:spacing w:after="0"/>
            </w:pPr>
            <w:r>
              <w:t>2.</w:t>
            </w:r>
          </w:p>
          <w:p w14:paraId="15B41051" w14:textId="77777777" w:rsidR="003846A1" w:rsidRDefault="003846A1" w:rsidP="003846A1"/>
          <w:p w14:paraId="13D0C8C5" w14:textId="77777777" w:rsidR="003846A1" w:rsidRDefault="003846A1" w:rsidP="003846A1">
            <w:pPr>
              <w:spacing w:after="0"/>
            </w:pPr>
          </w:p>
          <w:p w14:paraId="5B884984" w14:textId="1679296B" w:rsidR="003846A1" w:rsidRDefault="00825F6F" w:rsidP="003846A1">
            <w:pPr>
              <w:spacing w:after="0"/>
            </w:pPr>
            <w:r>
              <w:t>3.</w:t>
            </w:r>
          </w:p>
          <w:p w14:paraId="4BB2E83C" w14:textId="77777777" w:rsidR="003846A1" w:rsidRDefault="003846A1" w:rsidP="003846A1"/>
          <w:p w14:paraId="70C5B3B3" w14:textId="66B61957" w:rsidR="003846A1" w:rsidRPr="00975B07" w:rsidRDefault="003846A1" w:rsidP="003846A1">
            <w:pPr>
              <w:spacing w:after="0"/>
            </w:pPr>
            <w:r>
              <w:t>4.</w:t>
            </w:r>
          </w:p>
        </w:tc>
        <w:tc>
          <w:tcPr>
            <w:tcW w:w="8254" w:type="dxa"/>
            <w:gridSpan w:val="2"/>
            <w:tcBorders>
              <w:top w:val="single" w:sz="8" w:space="0" w:color="000000"/>
              <w:left w:val="nil"/>
              <w:bottom w:val="nil"/>
              <w:right w:val="single" w:sz="8" w:space="0" w:color="000000"/>
            </w:tcBorders>
            <w:shd w:val="clear" w:color="auto" w:fill="auto"/>
          </w:tcPr>
          <w:p w14:paraId="6B8BD73B" w14:textId="77777777" w:rsidR="00997B37" w:rsidRPr="00997B37" w:rsidRDefault="00035886" w:rsidP="00C95E1A">
            <w:pPr>
              <w:rPr>
                <w:rStyle w:val="Firstpagetablebold"/>
                <w:b w:val="0"/>
                <w:color w:val="auto"/>
              </w:rPr>
            </w:pPr>
            <w:r>
              <w:rPr>
                <w:rStyle w:val="Firstpagetablebold"/>
                <w:color w:val="auto"/>
              </w:rPr>
              <w:t xml:space="preserve">Approve </w:t>
            </w:r>
            <w:r w:rsidRPr="00035886">
              <w:rPr>
                <w:rStyle w:val="Firstpagetablebold"/>
                <w:b w:val="0"/>
                <w:color w:val="auto"/>
              </w:rPr>
              <w:t xml:space="preserve">the list of proposed amendments to governance arrangements </w:t>
            </w:r>
            <w:r>
              <w:rPr>
                <w:rStyle w:val="Firstpagetablebold"/>
                <w:b w:val="0"/>
                <w:color w:val="auto"/>
              </w:rPr>
              <w:t xml:space="preserve">in the Council’s Constitution </w:t>
            </w:r>
            <w:r w:rsidRPr="00035886">
              <w:rPr>
                <w:rStyle w:val="Firstpagetablebold"/>
                <w:b w:val="0"/>
                <w:color w:val="auto"/>
              </w:rPr>
              <w:t>listed in</w:t>
            </w:r>
            <w:r w:rsidR="00342E15" w:rsidRPr="00342E15">
              <w:rPr>
                <w:rStyle w:val="Firstpagetablebold"/>
                <w:b w:val="0"/>
                <w:color w:val="auto"/>
              </w:rPr>
              <w:t xml:space="preserve"> Appendix 1</w:t>
            </w:r>
            <w:r w:rsidR="00D64035">
              <w:rPr>
                <w:rStyle w:val="Firstpagetablebold"/>
                <w:b w:val="0"/>
                <w:color w:val="auto"/>
              </w:rPr>
              <w:t xml:space="preserve"> with effect from 18 May 2022</w:t>
            </w:r>
            <w:r w:rsidR="00342E15">
              <w:rPr>
                <w:rStyle w:val="Firstpagetablebold"/>
                <w:b w:val="0"/>
                <w:color w:val="auto"/>
              </w:rPr>
              <w:t>;</w:t>
            </w:r>
          </w:p>
          <w:p w14:paraId="64DF1EE8" w14:textId="77777777" w:rsidR="00825F6F" w:rsidRDefault="00F6310A" w:rsidP="00C95E1A">
            <w:pPr>
              <w:rPr>
                <w:rStyle w:val="Firstpagetablebold"/>
                <w:b w:val="0"/>
                <w:color w:val="auto"/>
              </w:rPr>
            </w:pPr>
            <w:r w:rsidRPr="00342E15">
              <w:rPr>
                <w:rStyle w:val="Firstpagetablebold"/>
                <w:color w:val="auto"/>
              </w:rPr>
              <w:t>Approve</w:t>
            </w:r>
            <w:r w:rsidRPr="00342E15">
              <w:rPr>
                <w:rStyle w:val="Firstpagetablebold"/>
                <w:b w:val="0"/>
                <w:color w:val="auto"/>
              </w:rPr>
              <w:t xml:space="preserve"> </w:t>
            </w:r>
            <w:r w:rsidR="00035886">
              <w:rPr>
                <w:rStyle w:val="Firstpagetablebold"/>
                <w:b w:val="0"/>
                <w:color w:val="auto"/>
              </w:rPr>
              <w:t xml:space="preserve">the list of </w:t>
            </w:r>
            <w:r w:rsidR="00035886" w:rsidRPr="00035886">
              <w:rPr>
                <w:color w:val="auto"/>
              </w:rPr>
              <w:t>proposed amendments to clarify existing governance arrangements</w:t>
            </w:r>
            <w:r w:rsidR="00035886">
              <w:rPr>
                <w:color w:val="auto"/>
              </w:rPr>
              <w:t xml:space="preserve"> </w:t>
            </w:r>
            <w:r w:rsidR="00035886" w:rsidRPr="00035886">
              <w:rPr>
                <w:color w:val="auto"/>
              </w:rPr>
              <w:t xml:space="preserve">in the Council’s Constitution </w:t>
            </w:r>
            <w:r w:rsidR="00035886">
              <w:rPr>
                <w:color w:val="auto"/>
              </w:rPr>
              <w:t>as detailed in Appendix 2</w:t>
            </w:r>
            <w:r w:rsidR="00D64035">
              <w:rPr>
                <w:color w:val="auto"/>
              </w:rPr>
              <w:t xml:space="preserve"> with effect from 18 May 2022</w:t>
            </w:r>
            <w:r w:rsidR="00342E15" w:rsidRPr="00035886">
              <w:rPr>
                <w:rStyle w:val="Firstpagetablebold"/>
                <w:b w:val="0"/>
                <w:color w:val="auto"/>
              </w:rPr>
              <w:t>;</w:t>
            </w:r>
          </w:p>
          <w:p w14:paraId="58B2CECA" w14:textId="5E9FA2D1" w:rsidR="00825F6F" w:rsidRDefault="00825F6F" w:rsidP="003846A1">
            <w:pPr>
              <w:rPr>
                <w:rStyle w:val="Firstpagetablebold"/>
                <w:b w:val="0"/>
                <w:color w:val="auto"/>
              </w:rPr>
            </w:pPr>
            <w:r w:rsidRPr="003846A1">
              <w:rPr>
                <w:rStyle w:val="Firstpagetablebold"/>
                <w:color w:val="auto"/>
              </w:rPr>
              <w:t>Approve</w:t>
            </w:r>
            <w:r>
              <w:rPr>
                <w:rStyle w:val="Firstpagetablebold"/>
                <w:b w:val="0"/>
                <w:color w:val="auto"/>
              </w:rPr>
              <w:t xml:space="preserve"> the dispensations in Part 22.5</w:t>
            </w:r>
            <w:r w:rsidR="003846A1">
              <w:rPr>
                <w:rStyle w:val="Firstpagetablebold"/>
                <w:b w:val="0"/>
                <w:color w:val="auto"/>
              </w:rPr>
              <w:t>(e) granted u</w:t>
            </w:r>
            <w:r w:rsidR="003846A1" w:rsidRPr="003846A1">
              <w:rPr>
                <w:rStyle w:val="Firstpagetablebold"/>
                <w:b w:val="0"/>
                <w:color w:val="auto"/>
              </w:rPr>
              <w:t xml:space="preserve">nder section 33 of the Localism Act 2011 for </w:t>
            </w:r>
            <w:r w:rsidR="003846A1">
              <w:rPr>
                <w:rStyle w:val="Firstpagetablebold"/>
                <w:b w:val="0"/>
                <w:color w:val="auto"/>
              </w:rPr>
              <w:t>a further four years from 1 October 2022</w:t>
            </w:r>
            <w:r w:rsidR="003846A1" w:rsidRPr="003846A1">
              <w:rPr>
                <w:rStyle w:val="Firstpagetablebold"/>
                <w:b w:val="0"/>
                <w:color w:val="auto"/>
              </w:rPr>
              <w:t>:</w:t>
            </w:r>
          </w:p>
          <w:p w14:paraId="6ECCE05A" w14:textId="5227B760" w:rsidR="00916D33" w:rsidRPr="00C51932" w:rsidRDefault="00825F6F" w:rsidP="00C95E1A">
            <w:pPr>
              <w:rPr>
                <w:color w:val="FF0000"/>
              </w:rPr>
            </w:pPr>
            <w:r w:rsidRPr="00825F6F">
              <w:rPr>
                <w:rStyle w:val="Firstpagetablebold"/>
                <w:color w:val="auto"/>
              </w:rPr>
              <w:t>Note</w:t>
            </w:r>
            <w:r>
              <w:rPr>
                <w:rStyle w:val="Firstpagetablebold"/>
                <w:b w:val="0"/>
                <w:color w:val="auto"/>
              </w:rPr>
              <w:t xml:space="preserve"> that Council will be recommended to adopt a new Members Code of Conduct under a separate agenda item, following consideration by the Standards Committee; </w:t>
            </w:r>
            <w:r w:rsidR="00035886" w:rsidRPr="00035886">
              <w:rPr>
                <w:rStyle w:val="Firstpagetablebold"/>
                <w:b w:val="0"/>
                <w:color w:val="auto"/>
              </w:rPr>
              <w:t>and</w:t>
            </w:r>
          </w:p>
        </w:tc>
      </w:tr>
      <w:tr w:rsidR="00997B37" w:rsidRPr="00975B07" w14:paraId="196B6ED5" w14:textId="77777777" w:rsidTr="00912718">
        <w:trPr>
          <w:trHeight w:val="283"/>
        </w:trPr>
        <w:tc>
          <w:tcPr>
            <w:tcW w:w="591" w:type="dxa"/>
            <w:tcBorders>
              <w:top w:val="nil"/>
              <w:left w:val="single" w:sz="8" w:space="0" w:color="000000"/>
              <w:bottom w:val="nil"/>
              <w:right w:val="nil"/>
            </w:tcBorders>
          </w:tcPr>
          <w:p w14:paraId="084B36D6" w14:textId="77777777" w:rsidR="00997B37" w:rsidRDefault="003846A1" w:rsidP="003846A1">
            <w:pPr>
              <w:spacing w:after="0"/>
            </w:pPr>
            <w:r>
              <w:t>5</w:t>
            </w:r>
            <w:r w:rsidR="00997B37">
              <w:t>.</w:t>
            </w:r>
          </w:p>
          <w:p w14:paraId="3F64587A" w14:textId="3DE26733" w:rsidR="002C01CC" w:rsidRDefault="002C01CC" w:rsidP="003846A1">
            <w:pPr>
              <w:spacing w:after="0"/>
            </w:pPr>
          </w:p>
        </w:tc>
        <w:tc>
          <w:tcPr>
            <w:tcW w:w="8254" w:type="dxa"/>
            <w:gridSpan w:val="2"/>
            <w:tcBorders>
              <w:top w:val="nil"/>
              <w:left w:val="nil"/>
              <w:bottom w:val="nil"/>
              <w:right w:val="single" w:sz="8" w:space="0" w:color="000000"/>
            </w:tcBorders>
            <w:shd w:val="clear" w:color="auto" w:fill="auto"/>
          </w:tcPr>
          <w:p w14:paraId="07A32913" w14:textId="55ACA499" w:rsidR="002C01CC" w:rsidRPr="00C51932" w:rsidRDefault="00997B37" w:rsidP="002C01CC">
            <w:pPr>
              <w:rPr>
                <w:rStyle w:val="Firstpagetablebold"/>
                <w:b w:val="0"/>
                <w:color w:val="auto"/>
              </w:rPr>
            </w:pPr>
            <w:r w:rsidRPr="00C51932">
              <w:rPr>
                <w:rStyle w:val="Firstpagetablebold"/>
                <w:color w:val="auto"/>
              </w:rPr>
              <w:t>Delegate</w:t>
            </w:r>
            <w:r w:rsidRPr="00C51932">
              <w:rPr>
                <w:rStyle w:val="Firstpagetablebold"/>
                <w:b w:val="0"/>
                <w:color w:val="auto"/>
              </w:rPr>
              <w:t xml:space="preserve"> authority to the Head of Law and Governance to </w:t>
            </w:r>
            <w:r w:rsidR="002C01CC">
              <w:rPr>
                <w:rStyle w:val="Firstpagetablebold"/>
                <w:b w:val="0"/>
                <w:color w:val="auto"/>
              </w:rPr>
              <w:t xml:space="preserve">make minor and consequential </w:t>
            </w:r>
            <w:r w:rsidRPr="00C51932">
              <w:rPr>
                <w:rStyle w:val="Firstpagetablebold"/>
                <w:b w:val="0"/>
                <w:color w:val="auto"/>
              </w:rPr>
              <w:t>amend</w:t>
            </w:r>
            <w:r w:rsidR="002C01CC">
              <w:rPr>
                <w:rStyle w:val="Firstpagetablebold"/>
                <w:b w:val="0"/>
                <w:color w:val="auto"/>
              </w:rPr>
              <w:t>ments to the Constitution including to</w:t>
            </w:r>
            <w:r w:rsidRPr="00C51932">
              <w:rPr>
                <w:rStyle w:val="Firstpagetablebold"/>
                <w:b w:val="0"/>
                <w:color w:val="auto"/>
              </w:rPr>
              <w:t xml:space="preserve"> wording </w:t>
            </w:r>
            <w:r>
              <w:rPr>
                <w:rStyle w:val="Firstpagetablebold"/>
                <w:b w:val="0"/>
                <w:color w:val="auto"/>
              </w:rPr>
              <w:t xml:space="preserve">and/or numbering </w:t>
            </w:r>
            <w:r w:rsidRPr="00C51932">
              <w:rPr>
                <w:rStyle w:val="Firstpagetablebold"/>
                <w:b w:val="0"/>
                <w:color w:val="auto"/>
              </w:rPr>
              <w:t>that is identified as being inconsistent with the changes approved by Council.</w:t>
            </w:r>
          </w:p>
        </w:tc>
      </w:tr>
      <w:tr w:rsidR="00912718" w:rsidRPr="00975B07" w14:paraId="56D57314" w14:textId="77777777" w:rsidTr="00997B37">
        <w:trPr>
          <w:trHeight w:val="283"/>
        </w:trPr>
        <w:tc>
          <w:tcPr>
            <w:tcW w:w="591" w:type="dxa"/>
            <w:tcBorders>
              <w:top w:val="nil"/>
              <w:left w:val="single" w:sz="8" w:space="0" w:color="000000"/>
              <w:bottom w:val="single" w:sz="4" w:space="0" w:color="auto"/>
              <w:right w:val="nil"/>
            </w:tcBorders>
          </w:tcPr>
          <w:p w14:paraId="7E24FF69" w14:textId="5B3375B8" w:rsidR="00912718" w:rsidRDefault="00912718" w:rsidP="003846A1">
            <w:pPr>
              <w:spacing w:after="0"/>
            </w:pPr>
            <w:r>
              <w:t>6.</w:t>
            </w:r>
          </w:p>
        </w:tc>
        <w:tc>
          <w:tcPr>
            <w:tcW w:w="8254" w:type="dxa"/>
            <w:gridSpan w:val="2"/>
            <w:tcBorders>
              <w:top w:val="nil"/>
              <w:left w:val="nil"/>
              <w:bottom w:val="single" w:sz="4" w:space="0" w:color="auto"/>
              <w:right w:val="single" w:sz="8" w:space="0" w:color="000000"/>
            </w:tcBorders>
            <w:shd w:val="clear" w:color="auto" w:fill="auto"/>
          </w:tcPr>
          <w:p w14:paraId="6C676D35" w14:textId="22B7068C" w:rsidR="00912718" w:rsidRPr="00912718" w:rsidRDefault="00912718" w:rsidP="00912718">
            <w:pPr>
              <w:rPr>
                <w:rStyle w:val="Firstpagetablebold"/>
                <w:b w:val="0"/>
                <w:color w:val="auto"/>
              </w:rPr>
            </w:pPr>
            <w:r>
              <w:rPr>
                <w:rStyle w:val="Firstpagetablebold"/>
                <w:color w:val="auto"/>
              </w:rPr>
              <w:t xml:space="preserve">Note </w:t>
            </w:r>
            <w:r w:rsidRPr="00912718">
              <w:rPr>
                <w:rStyle w:val="Firstpagetablebold"/>
                <w:b w:val="0"/>
                <w:color w:val="auto"/>
              </w:rPr>
              <w:t xml:space="preserve">that the Monitoring Officer has delegated authority to change Part 4 (who carries out executive responsibilities) and Part 6 (roles of Cabinet members) to reflect the wishes of the Leader. This would include </w:t>
            </w:r>
            <w:r>
              <w:rPr>
                <w:rStyle w:val="Firstpagetablebold"/>
                <w:b w:val="0"/>
                <w:color w:val="auto"/>
              </w:rPr>
              <w:t>amending</w:t>
            </w:r>
            <w:r w:rsidRPr="00912718">
              <w:rPr>
                <w:rStyle w:val="Firstpagetablebold"/>
                <w:b w:val="0"/>
                <w:color w:val="auto"/>
              </w:rPr>
              <w:t xml:space="preserve"> Cabinet Member portfolio titles </w:t>
            </w:r>
            <w:r>
              <w:rPr>
                <w:rStyle w:val="Firstpagetablebold"/>
                <w:b w:val="0"/>
                <w:color w:val="auto"/>
              </w:rPr>
              <w:t xml:space="preserve">in the Constitution to reflect any changes </w:t>
            </w:r>
            <w:r w:rsidRPr="00912718">
              <w:rPr>
                <w:rStyle w:val="Firstpagetablebold"/>
                <w:b w:val="0"/>
                <w:color w:val="auto"/>
              </w:rPr>
              <w:t>announced by the Leader.</w:t>
            </w:r>
          </w:p>
        </w:tc>
      </w:tr>
    </w:tbl>
    <w:p w14:paraId="4987AC4F" w14:textId="77777777"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14:paraId="54AA939A" w14:textId="77777777" w:rsidTr="007B47A7">
        <w:tc>
          <w:tcPr>
            <w:tcW w:w="8844" w:type="dxa"/>
            <w:gridSpan w:val="2"/>
            <w:tcBorders>
              <w:bottom w:val="single" w:sz="8" w:space="0" w:color="000000"/>
            </w:tcBorders>
            <w:shd w:val="clear" w:color="auto" w:fill="auto"/>
          </w:tcPr>
          <w:p w14:paraId="74EA1EC0" w14:textId="77777777" w:rsidR="00966D42" w:rsidRPr="00975B07" w:rsidRDefault="00966D42" w:rsidP="00263EA3">
            <w:pPr>
              <w:jc w:val="center"/>
            </w:pPr>
            <w:r w:rsidRPr="00745BF0">
              <w:rPr>
                <w:rStyle w:val="Firstpagetablebold"/>
              </w:rPr>
              <w:t>Appendices</w:t>
            </w:r>
          </w:p>
        </w:tc>
      </w:tr>
      <w:tr w:rsidR="00ED5860" w:rsidRPr="00975B07" w14:paraId="2AA03940" w14:textId="77777777" w:rsidTr="007B47A7">
        <w:tc>
          <w:tcPr>
            <w:tcW w:w="2438" w:type="dxa"/>
            <w:tcBorders>
              <w:bottom w:val="nil"/>
            </w:tcBorders>
            <w:shd w:val="clear" w:color="auto" w:fill="auto"/>
          </w:tcPr>
          <w:p w14:paraId="2EED4B7F" w14:textId="77777777" w:rsidR="00ED5860" w:rsidRPr="00C51932" w:rsidRDefault="00ED5860" w:rsidP="004A6D2F">
            <w:pPr>
              <w:rPr>
                <w:color w:val="auto"/>
              </w:rPr>
            </w:pPr>
            <w:r w:rsidRPr="00C51932">
              <w:rPr>
                <w:color w:val="auto"/>
              </w:rPr>
              <w:t>Appendix 1</w:t>
            </w:r>
          </w:p>
        </w:tc>
        <w:tc>
          <w:tcPr>
            <w:tcW w:w="6406" w:type="dxa"/>
            <w:tcBorders>
              <w:bottom w:val="nil"/>
            </w:tcBorders>
          </w:tcPr>
          <w:p w14:paraId="607604BA" w14:textId="77777777" w:rsidR="00ED5860" w:rsidRPr="00C51932" w:rsidRDefault="00342E15" w:rsidP="00950F33">
            <w:pPr>
              <w:rPr>
                <w:color w:val="auto"/>
              </w:rPr>
            </w:pPr>
            <w:r>
              <w:rPr>
                <w:color w:val="auto"/>
              </w:rPr>
              <w:t xml:space="preserve">List </w:t>
            </w:r>
            <w:r w:rsidR="00950F33" w:rsidRPr="00950F33">
              <w:rPr>
                <w:color w:val="auto"/>
              </w:rPr>
              <w:t>of proposed amendments to governance arrangements</w:t>
            </w:r>
            <w:r w:rsidR="00950F33">
              <w:rPr>
                <w:color w:val="auto"/>
              </w:rPr>
              <w:t xml:space="preserve"> in the Constitution</w:t>
            </w:r>
          </w:p>
        </w:tc>
      </w:tr>
      <w:tr w:rsidR="007B47A7" w:rsidRPr="00975B07" w14:paraId="316CA6B0" w14:textId="77777777" w:rsidTr="007B47A7">
        <w:tc>
          <w:tcPr>
            <w:tcW w:w="2438" w:type="dxa"/>
            <w:tcBorders>
              <w:top w:val="nil"/>
            </w:tcBorders>
            <w:shd w:val="clear" w:color="auto" w:fill="auto"/>
          </w:tcPr>
          <w:p w14:paraId="5FC11262" w14:textId="77777777" w:rsidR="00342E15" w:rsidRPr="00342E15" w:rsidRDefault="007B47A7" w:rsidP="004A6D2F">
            <w:pPr>
              <w:rPr>
                <w:color w:val="auto"/>
              </w:rPr>
            </w:pPr>
            <w:r w:rsidRPr="00342E15">
              <w:rPr>
                <w:color w:val="auto"/>
              </w:rPr>
              <w:t>Appendix 2</w:t>
            </w:r>
          </w:p>
        </w:tc>
        <w:tc>
          <w:tcPr>
            <w:tcW w:w="6406" w:type="dxa"/>
            <w:tcBorders>
              <w:top w:val="nil"/>
            </w:tcBorders>
          </w:tcPr>
          <w:p w14:paraId="0CEB140B" w14:textId="77777777" w:rsidR="007B47A7" w:rsidRPr="00342E15" w:rsidRDefault="00342E15" w:rsidP="001C58AF">
            <w:pPr>
              <w:rPr>
                <w:color w:val="auto"/>
              </w:rPr>
            </w:pPr>
            <w:r w:rsidRPr="00342E15">
              <w:rPr>
                <w:color w:val="auto"/>
              </w:rPr>
              <w:t xml:space="preserve">List of </w:t>
            </w:r>
            <w:r w:rsidR="00950F33" w:rsidRPr="00950F33">
              <w:rPr>
                <w:color w:val="auto"/>
              </w:rPr>
              <w:t xml:space="preserve">proposed amendments to </w:t>
            </w:r>
            <w:r w:rsidR="001C58AF">
              <w:rPr>
                <w:color w:val="auto"/>
              </w:rPr>
              <w:t>strengthen</w:t>
            </w:r>
            <w:r w:rsidR="00BB4A96">
              <w:rPr>
                <w:color w:val="auto"/>
              </w:rPr>
              <w:t xml:space="preserve"> the clarity of</w:t>
            </w:r>
            <w:r w:rsidR="00950F33" w:rsidRPr="00950F33">
              <w:rPr>
                <w:color w:val="auto"/>
              </w:rPr>
              <w:t xml:space="preserve"> existing</w:t>
            </w:r>
            <w:r w:rsidR="00950F33">
              <w:rPr>
                <w:color w:val="auto"/>
              </w:rPr>
              <w:t xml:space="preserve"> governance arrangements in </w:t>
            </w:r>
            <w:r w:rsidRPr="00342E15">
              <w:rPr>
                <w:color w:val="auto"/>
              </w:rPr>
              <w:t>the Constitution</w:t>
            </w:r>
          </w:p>
        </w:tc>
      </w:tr>
    </w:tbl>
    <w:p w14:paraId="34B85FE8" w14:textId="77777777" w:rsidR="00D64035" w:rsidRDefault="00D64035" w:rsidP="00D64035">
      <w:pPr>
        <w:rPr>
          <w:b/>
        </w:rPr>
      </w:pPr>
    </w:p>
    <w:p w14:paraId="0B9A30D7" w14:textId="77777777" w:rsidR="004574B8" w:rsidRPr="00D64035" w:rsidRDefault="004574B8" w:rsidP="00D64035"/>
    <w:p w14:paraId="204407DF" w14:textId="77777777" w:rsidR="0040736F" w:rsidRPr="001356F1" w:rsidRDefault="00F66DCA" w:rsidP="00FB0487">
      <w:pPr>
        <w:pStyle w:val="Heading1"/>
        <w:spacing w:before="0"/>
      </w:pPr>
      <w:r w:rsidRPr="001356F1">
        <w:t>Introduction and b</w:t>
      </w:r>
      <w:r w:rsidR="00151888" w:rsidRPr="001356F1">
        <w:t>ackground</w:t>
      </w:r>
      <w:r w:rsidR="00404032" w:rsidRPr="001356F1">
        <w:t xml:space="preserve"> </w:t>
      </w:r>
    </w:p>
    <w:p w14:paraId="6CEEBF84" w14:textId="77777777" w:rsidR="00FB0487" w:rsidRDefault="00E715C7" w:rsidP="00062BB1">
      <w:pPr>
        <w:pStyle w:val="Heading1"/>
        <w:numPr>
          <w:ilvl w:val="0"/>
          <w:numId w:val="34"/>
        </w:numPr>
        <w:spacing w:before="0"/>
        <w:ind w:left="426" w:hanging="426"/>
        <w:rPr>
          <w:b w:val="0"/>
        </w:rPr>
      </w:pPr>
      <w:r w:rsidRPr="00E715C7">
        <w:rPr>
          <w:b w:val="0"/>
        </w:rPr>
        <w:t>The</w:t>
      </w:r>
      <w:r>
        <w:rPr>
          <w:b w:val="0"/>
        </w:rPr>
        <w:t xml:space="preserve"> Constitution</w:t>
      </w:r>
      <w:r w:rsidRPr="00E715C7">
        <w:rPr>
          <w:b w:val="0"/>
        </w:rPr>
        <w:t xml:space="preserve"> forms a key part of the Council’s governance framework, setting rules, principles and procedures to enable the Council to take decisions and do its work effectively.  </w:t>
      </w:r>
    </w:p>
    <w:p w14:paraId="1E360C10" w14:textId="77777777" w:rsidR="005C7FBE" w:rsidRDefault="00E715C7" w:rsidP="003846A1">
      <w:pPr>
        <w:pStyle w:val="ListParagraph"/>
        <w:numPr>
          <w:ilvl w:val="0"/>
          <w:numId w:val="34"/>
        </w:numPr>
        <w:ind w:left="426" w:hanging="426"/>
      </w:pPr>
      <w:r w:rsidRPr="00E715C7">
        <w:t xml:space="preserve">The Constitution is reviewed annually to ensure that it continues to </w:t>
      </w:r>
      <w:r w:rsidR="003F0CC9">
        <w:t xml:space="preserve">properly </w:t>
      </w:r>
      <w:r w:rsidRPr="00E715C7">
        <w:t>reflect</w:t>
      </w:r>
      <w:r w:rsidR="00A575B1">
        <w:t xml:space="preserve"> </w:t>
      </w:r>
      <w:r w:rsidRPr="00E715C7">
        <w:t xml:space="preserve">the law and </w:t>
      </w:r>
      <w:r w:rsidR="00295311">
        <w:t xml:space="preserve">meet the needs of the Council. </w:t>
      </w:r>
      <w:r w:rsidR="00D3675F">
        <w:t xml:space="preserve">This is both a tidying up exercise and an opportunity to respond to governance </w:t>
      </w:r>
      <w:r w:rsidR="00962613">
        <w:t xml:space="preserve">changes and </w:t>
      </w:r>
      <w:r w:rsidR="00D3675F">
        <w:t>issues that have ari</w:t>
      </w:r>
      <w:r w:rsidR="005C7FBE">
        <w:t>sen since the previous review.</w:t>
      </w:r>
    </w:p>
    <w:p w14:paraId="1A7984E0" w14:textId="77777777" w:rsidR="005C7FBE" w:rsidRDefault="00FB57B4" w:rsidP="003846A1">
      <w:pPr>
        <w:pStyle w:val="ListParagraph"/>
        <w:numPr>
          <w:ilvl w:val="0"/>
          <w:numId w:val="34"/>
        </w:numPr>
        <w:ind w:left="426" w:hanging="426"/>
      </w:pPr>
      <w:r w:rsidRPr="00FB57B4">
        <w:t>A Cross-Party Constitution Review Working Group (“the Group”) was formed to consider suggestions from officers and elected members and shape</w:t>
      </w:r>
      <w:r>
        <w:t xml:space="preserve"> the proposals before Council. </w:t>
      </w:r>
      <w:r w:rsidRPr="00FB57B4">
        <w:t xml:space="preserve">The Group was chaired by </w:t>
      </w:r>
      <w:r w:rsidR="00950F33" w:rsidRPr="00950F33">
        <w:t>Cllr Paula Dunne</w:t>
      </w:r>
      <w:r w:rsidR="00950F33" w:rsidRPr="00D64035">
        <w:rPr>
          <w:b/>
        </w:rPr>
        <w:t xml:space="preserve"> </w:t>
      </w:r>
      <w:r w:rsidR="00950F33" w:rsidRPr="00950F33">
        <w:t>and its membership also included</w:t>
      </w:r>
      <w:r w:rsidR="00950F33" w:rsidRPr="00D64035">
        <w:rPr>
          <w:b/>
        </w:rPr>
        <w:t xml:space="preserve">: </w:t>
      </w:r>
      <w:r w:rsidR="00950F33" w:rsidRPr="00950F33">
        <w:t>Cllr Colin Cook</w:t>
      </w:r>
      <w:r w:rsidR="00950F33" w:rsidRPr="00D64035">
        <w:rPr>
          <w:b/>
        </w:rPr>
        <w:t xml:space="preserve">, </w:t>
      </w:r>
      <w:r w:rsidR="00950F33" w:rsidRPr="00950F33">
        <w:t>Cllr Andrew Gant</w:t>
      </w:r>
      <w:r w:rsidR="00950F33" w:rsidRPr="00D64035">
        <w:rPr>
          <w:b/>
        </w:rPr>
        <w:t xml:space="preserve"> </w:t>
      </w:r>
      <w:r w:rsidR="00950F33" w:rsidRPr="00950F33">
        <w:t>Cllr Chris Jarvis</w:t>
      </w:r>
      <w:r w:rsidR="00950F33" w:rsidRPr="00D64035">
        <w:rPr>
          <w:b/>
        </w:rPr>
        <w:t xml:space="preserve">, </w:t>
      </w:r>
      <w:r w:rsidR="00950F33" w:rsidRPr="00950F33">
        <w:t>Cllr Saj Malik</w:t>
      </w:r>
      <w:r w:rsidR="00950F33" w:rsidRPr="00D64035">
        <w:rPr>
          <w:b/>
        </w:rPr>
        <w:t xml:space="preserve">, </w:t>
      </w:r>
      <w:r w:rsidR="00950F33" w:rsidRPr="00950F33">
        <w:t>Cllr Mike Rowley</w:t>
      </w:r>
      <w:r w:rsidR="00950F33" w:rsidRPr="00D64035">
        <w:rPr>
          <w:b/>
        </w:rPr>
        <w:t xml:space="preserve">, </w:t>
      </w:r>
      <w:r w:rsidR="00950F33" w:rsidRPr="00950F33">
        <w:t>Cllr Imogen Thomas</w:t>
      </w:r>
      <w:r w:rsidR="00950F33" w:rsidRPr="00D64035">
        <w:rPr>
          <w:b/>
        </w:rPr>
        <w:t xml:space="preserve"> </w:t>
      </w:r>
      <w:r w:rsidR="00950F33" w:rsidRPr="005C7FBE">
        <w:t>and</w:t>
      </w:r>
      <w:r w:rsidR="00950F33" w:rsidRPr="00D64035">
        <w:rPr>
          <w:b/>
        </w:rPr>
        <w:t xml:space="preserve"> </w:t>
      </w:r>
      <w:r w:rsidR="00950F33" w:rsidRPr="00950F33">
        <w:t>Cllr Liz Wade</w:t>
      </w:r>
      <w:r w:rsidR="00950F33" w:rsidRPr="00D64035">
        <w:rPr>
          <w:b/>
        </w:rPr>
        <w:t>.</w:t>
      </w:r>
      <w:r w:rsidRPr="00950F33">
        <w:t xml:space="preserve"> </w:t>
      </w:r>
      <w:r w:rsidR="00D64035" w:rsidRPr="00D64035">
        <w:t xml:space="preserve">The Group held one meeting, on 14 December 2021 to consider proposed changes submitted by members and officers. </w:t>
      </w:r>
      <w:r w:rsidRPr="00D64035">
        <w:t>Following the December meeting a briefing note was prepared and circulated for discussion with political groups.</w:t>
      </w:r>
      <w:r w:rsidR="0059784C">
        <w:t xml:space="preserve"> A further briefing paper was circulated in February 2022 for consideration by political groups.</w:t>
      </w:r>
    </w:p>
    <w:p w14:paraId="42EB4EA8" w14:textId="77777777" w:rsidR="00E715C7" w:rsidRPr="00D64035" w:rsidRDefault="00D64035" w:rsidP="003846A1">
      <w:pPr>
        <w:pStyle w:val="ListParagraph"/>
        <w:numPr>
          <w:ilvl w:val="0"/>
          <w:numId w:val="34"/>
        </w:numPr>
        <w:ind w:left="426" w:hanging="426"/>
      </w:pPr>
      <w:r w:rsidRPr="00D64035">
        <w:t>The Council’s Corporate Management Team and Organisational Development Group (heads of service) have also been consulted on the key proposals.</w:t>
      </w:r>
    </w:p>
    <w:p w14:paraId="58354F3B" w14:textId="77777777" w:rsidR="00E715C7" w:rsidRDefault="00E715C7" w:rsidP="00C51932">
      <w:pPr>
        <w:pStyle w:val="ListParagraph"/>
        <w:spacing w:after="0"/>
        <w:ind w:left="357"/>
      </w:pPr>
    </w:p>
    <w:p w14:paraId="355067B8" w14:textId="77777777" w:rsidR="004574B8" w:rsidRPr="00E715C7" w:rsidRDefault="004574B8" w:rsidP="00C51932">
      <w:pPr>
        <w:pStyle w:val="ListParagraph"/>
        <w:spacing w:after="0"/>
        <w:ind w:left="357"/>
      </w:pPr>
    </w:p>
    <w:p w14:paraId="102D8039" w14:textId="77777777" w:rsidR="00633578" w:rsidRPr="001356F1" w:rsidRDefault="00E715C7" w:rsidP="00FB0487">
      <w:pPr>
        <w:pStyle w:val="Heading1"/>
        <w:spacing w:before="0"/>
      </w:pPr>
      <w:r>
        <w:t>Proposed amendments</w:t>
      </w:r>
    </w:p>
    <w:p w14:paraId="3C9CD2DD" w14:textId="77777777" w:rsidR="004337A7" w:rsidRDefault="004337A7" w:rsidP="003846A1">
      <w:pPr>
        <w:pStyle w:val="ListParagraph"/>
        <w:numPr>
          <w:ilvl w:val="0"/>
          <w:numId w:val="34"/>
        </w:numPr>
        <w:ind w:left="426" w:hanging="426"/>
        <w:rPr>
          <w:rStyle w:val="ListParagraphChar"/>
          <w:b/>
          <w:color w:val="auto"/>
        </w:rPr>
      </w:pPr>
      <w:r>
        <w:rPr>
          <w:rStyle w:val="ListParagraphChar"/>
          <w:color w:val="auto"/>
        </w:rPr>
        <w:t>The l</w:t>
      </w:r>
      <w:r w:rsidR="00E715C7" w:rsidRPr="004337A7">
        <w:rPr>
          <w:rStyle w:val="ListParagraphChar"/>
          <w:color w:val="auto"/>
        </w:rPr>
        <w:t>ist</w:t>
      </w:r>
      <w:r>
        <w:rPr>
          <w:rStyle w:val="ListParagraphChar"/>
          <w:color w:val="auto"/>
        </w:rPr>
        <w:t>s</w:t>
      </w:r>
      <w:r w:rsidR="00E715C7" w:rsidRPr="004337A7">
        <w:rPr>
          <w:rStyle w:val="ListParagraphChar"/>
          <w:color w:val="auto"/>
        </w:rPr>
        <w:t xml:space="preserve"> of </w:t>
      </w:r>
      <w:r w:rsidR="007B47A7" w:rsidRPr="004337A7">
        <w:rPr>
          <w:rStyle w:val="ListParagraphChar"/>
          <w:color w:val="auto"/>
        </w:rPr>
        <w:t xml:space="preserve">the </w:t>
      </w:r>
      <w:r w:rsidR="00E715C7" w:rsidRPr="004337A7">
        <w:rPr>
          <w:rStyle w:val="ListParagraphChar"/>
          <w:color w:val="auto"/>
        </w:rPr>
        <w:t xml:space="preserve">proposed amendments </w:t>
      </w:r>
      <w:r w:rsidR="00062BB1" w:rsidRPr="004337A7">
        <w:rPr>
          <w:rStyle w:val="ListParagraphChar"/>
          <w:color w:val="auto"/>
        </w:rPr>
        <w:t>resulting from</w:t>
      </w:r>
      <w:r w:rsidR="0069476D" w:rsidRPr="004337A7">
        <w:rPr>
          <w:rStyle w:val="ListParagraphChar"/>
          <w:color w:val="auto"/>
        </w:rPr>
        <w:t xml:space="preserve"> the Constitution Review 20</w:t>
      </w:r>
      <w:r>
        <w:rPr>
          <w:rStyle w:val="ListParagraphChar"/>
          <w:color w:val="auto"/>
        </w:rPr>
        <w:t>21</w:t>
      </w:r>
      <w:r w:rsidR="00E775D9">
        <w:rPr>
          <w:rStyle w:val="ListParagraphChar"/>
          <w:color w:val="auto"/>
        </w:rPr>
        <w:t>-22</w:t>
      </w:r>
      <w:r w:rsidR="0069476D" w:rsidRPr="004337A7">
        <w:rPr>
          <w:rStyle w:val="ListParagraphChar"/>
          <w:color w:val="auto"/>
        </w:rPr>
        <w:t xml:space="preserve"> </w:t>
      </w:r>
      <w:r w:rsidR="00D64035">
        <w:rPr>
          <w:rStyle w:val="ListParagraphChar"/>
          <w:color w:val="auto"/>
        </w:rPr>
        <w:t>are</w:t>
      </w:r>
      <w:r w:rsidRPr="004337A7">
        <w:rPr>
          <w:rStyle w:val="ListParagraphChar"/>
          <w:color w:val="auto"/>
        </w:rPr>
        <w:t xml:space="preserve"> attached as </w:t>
      </w:r>
      <w:r w:rsidR="00D64035">
        <w:rPr>
          <w:rStyle w:val="ListParagraphChar"/>
          <w:color w:val="auto"/>
        </w:rPr>
        <w:t>two appendices. Appendix 1 lists</w:t>
      </w:r>
      <w:r w:rsidRPr="004337A7">
        <w:rPr>
          <w:rStyle w:val="ListParagraphChar"/>
          <w:color w:val="auto"/>
        </w:rPr>
        <w:t xml:space="preserve"> </w:t>
      </w:r>
      <w:r>
        <w:rPr>
          <w:rStyle w:val="ListParagraphChar"/>
          <w:color w:val="auto"/>
        </w:rPr>
        <w:t>p</w:t>
      </w:r>
      <w:r w:rsidRPr="004337A7">
        <w:rPr>
          <w:rStyle w:val="ListParagraphChar"/>
          <w:color w:val="auto"/>
        </w:rPr>
        <w:t>roposed amendments to governance arrangements. These are proposals that in the view of officers would change elements of the Council’s current rules or governance practices.</w:t>
      </w:r>
      <w:r w:rsidR="00D64035">
        <w:rPr>
          <w:rStyle w:val="ListParagraphChar"/>
          <w:color w:val="auto"/>
        </w:rPr>
        <w:t xml:space="preserve"> Appendix 2 lists p</w:t>
      </w:r>
      <w:r w:rsidR="00D64035" w:rsidRPr="00D64035">
        <w:rPr>
          <w:rStyle w:val="ListParagraphChar"/>
          <w:color w:val="auto"/>
        </w:rPr>
        <w:t>roposed amendments to clarify existing governance arrangements. These are changes that in the view of officers would not materially impact current governance practice but would</w:t>
      </w:r>
      <w:r w:rsidR="00D64035">
        <w:rPr>
          <w:rStyle w:val="ListParagraphChar"/>
          <w:color w:val="auto"/>
        </w:rPr>
        <w:t xml:space="preserve"> </w:t>
      </w:r>
      <w:r w:rsidR="00D64035" w:rsidRPr="00D64035">
        <w:rPr>
          <w:rStyle w:val="ListParagraphChar"/>
          <w:color w:val="auto"/>
        </w:rPr>
        <w:t>serve to clarify or update existing rules, responsibilities and advice.</w:t>
      </w:r>
    </w:p>
    <w:p w14:paraId="67523F0D" w14:textId="77777777" w:rsidR="00C123C3" w:rsidRPr="00C123C3" w:rsidRDefault="00016E46" w:rsidP="003846A1">
      <w:pPr>
        <w:pStyle w:val="ListParagraph"/>
        <w:numPr>
          <w:ilvl w:val="0"/>
          <w:numId w:val="34"/>
        </w:numPr>
        <w:ind w:left="426" w:hanging="426"/>
        <w:rPr>
          <w:rStyle w:val="ListParagraphChar"/>
          <w:color w:val="auto"/>
        </w:rPr>
      </w:pPr>
      <w:r>
        <w:rPr>
          <w:rStyle w:val="ListParagraphChar"/>
          <w:color w:val="auto"/>
        </w:rPr>
        <w:t>Since t</w:t>
      </w:r>
      <w:r w:rsidR="00C123C3" w:rsidRPr="00C123C3">
        <w:rPr>
          <w:rStyle w:val="ListParagraphChar"/>
          <w:color w:val="auto"/>
        </w:rPr>
        <w:t xml:space="preserve">he Constitution Review is in part a tidying up exercise there has been a high degree of consensus on the majority of proposals considered by the Group. </w:t>
      </w:r>
    </w:p>
    <w:p w14:paraId="5949BC99" w14:textId="77777777" w:rsidR="00C123C3" w:rsidRPr="00C123C3" w:rsidRDefault="00C123C3" w:rsidP="003846A1">
      <w:pPr>
        <w:pStyle w:val="ListParagraph"/>
        <w:numPr>
          <w:ilvl w:val="0"/>
          <w:numId w:val="34"/>
        </w:numPr>
        <w:ind w:left="426" w:hanging="426"/>
        <w:rPr>
          <w:rStyle w:val="ListParagraphChar"/>
          <w:color w:val="auto"/>
        </w:rPr>
      </w:pPr>
      <w:r w:rsidRPr="00C123C3">
        <w:rPr>
          <w:rStyle w:val="ListParagraphChar"/>
          <w:color w:val="auto"/>
        </w:rPr>
        <w:t>The proposed amendments to governance arrangements (Appendix 1) were considered and debated in turn by the Group and some proposals have subsequently been amended by officers to reflect member input.</w:t>
      </w:r>
    </w:p>
    <w:p w14:paraId="7CD5227A" w14:textId="4A48D44E" w:rsidR="00C123C3" w:rsidRPr="00C123C3" w:rsidRDefault="00C123C3" w:rsidP="003846A1">
      <w:pPr>
        <w:pStyle w:val="ListParagraph"/>
        <w:numPr>
          <w:ilvl w:val="0"/>
          <w:numId w:val="34"/>
        </w:numPr>
        <w:ind w:left="426" w:hanging="426"/>
        <w:rPr>
          <w:rStyle w:val="ListParagraphChar"/>
          <w:color w:val="auto"/>
        </w:rPr>
      </w:pPr>
      <w:r w:rsidRPr="00C123C3">
        <w:rPr>
          <w:rStyle w:val="ListParagraphChar"/>
          <w:color w:val="auto"/>
        </w:rPr>
        <w:t xml:space="preserve">The proposals to </w:t>
      </w:r>
      <w:r w:rsidR="001C58AF" w:rsidRPr="001C58AF">
        <w:rPr>
          <w:rStyle w:val="ListParagraphChar"/>
          <w:color w:val="auto"/>
        </w:rPr>
        <w:t>strengthen the clarity and consistency of existing provisions</w:t>
      </w:r>
      <w:r w:rsidRPr="00C123C3">
        <w:rPr>
          <w:rStyle w:val="ListParagraphChar"/>
          <w:color w:val="auto"/>
        </w:rPr>
        <w:t xml:space="preserve"> (Appendix 2) were taken as read by the Group and were only debated by exception. A small number of items have been added to Appendix 2 since the meeting of the Group. These are amendments that would ordinarily fall under the delegated authority of the Head of Law and Governance to correct clerical mistakes</w:t>
      </w:r>
      <w:r w:rsidR="002C01CC">
        <w:rPr>
          <w:rStyle w:val="ListParagraphChar"/>
          <w:color w:val="auto"/>
        </w:rPr>
        <w:t xml:space="preserve"> or to make it follow the law</w:t>
      </w:r>
      <w:r w:rsidRPr="00C123C3">
        <w:rPr>
          <w:rStyle w:val="ListParagraphChar"/>
          <w:color w:val="auto"/>
        </w:rPr>
        <w:t>. These amendments have been included for completeness and include updates to officer post titles</w:t>
      </w:r>
    </w:p>
    <w:p w14:paraId="1798ADEA" w14:textId="77777777" w:rsidR="00D64035" w:rsidRPr="00BA0B0E" w:rsidRDefault="00C123C3" w:rsidP="003846A1">
      <w:pPr>
        <w:pStyle w:val="ListParagraph"/>
        <w:numPr>
          <w:ilvl w:val="0"/>
          <w:numId w:val="34"/>
        </w:numPr>
        <w:ind w:left="426" w:hanging="426"/>
        <w:rPr>
          <w:rStyle w:val="ListParagraphChar"/>
          <w:color w:val="auto"/>
        </w:rPr>
      </w:pPr>
      <w:r w:rsidRPr="00C123C3">
        <w:rPr>
          <w:rStyle w:val="ListParagraphChar"/>
          <w:color w:val="auto"/>
        </w:rPr>
        <w:t xml:space="preserve">A small number of proposals were not supported by members, others required amendment following member input and one proposal was referred to political groups for consideration. </w:t>
      </w:r>
      <w:r w:rsidR="00E775D9">
        <w:rPr>
          <w:rStyle w:val="ListParagraphChar"/>
          <w:color w:val="auto"/>
        </w:rPr>
        <w:t>The proposal that was referred to groups concerned whether cross-party motions should be excluded from the time limit for motions. This proposal was not supported by the controlling group.</w:t>
      </w:r>
    </w:p>
    <w:p w14:paraId="5754ACC5" w14:textId="77777777" w:rsidR="00C51932" w:rsidRDefault="00E715C7" w:rsidP="00793E1B">
      <w:pPr>
        <w:pStyle w:val="bParagraphtext"/>
        <w:numPr>
          <w:ilvl w:val="0"/>
          <w:numId w:val="34"/>
        </w:numPr>
        <w:ind w:left="425" w:hanging="425"/>
      </w:pPr>
      <w:r w:rsidRPr="00E715C7">
        <w:t xml:space="preserve">Many of the proposed amendments are intended to provide </w:t>
      </w:r>
      <w:r w:rsidR="008411D8">
        <w:t xml:space="preserve">additional </w:t>
      </w:r>
      <w:r w:rsidRPr="00E715C7">
        <w:t xml:space="preserve">clarity about existing rules or to better reflect current practices where these have </w:t>
      </w:r>
      <w:r w:rsidR="00C51932">
        <w:t>changed</w:t>
      </w:r>
      <w:r w:rsidR="00290FF8">
        <w:t xml:space="preserve"> since the Constitution was last updated</w:t>
      </w:r>
      <w:r w:rsidR="008411D8">
        <w:t xml:space="preserve"> by Council</w:t>
      </w:r>
      <w:r w:rsidR="00C51932">
        <w:t xml:space="preserve"> in </w:t>
      </w:r>
      <w:r w:rsidR="00BA0B0E">
        <w:t>July 2021</w:t>
      </w:r>
      <w:r w:rsidRPr="00E715C7">
        <w:t xml:space="preserve">.  </w:t>
      </w:r>
    </w:p>
    <w:p w14:paraId="6674D556" w14:textId="2D8C90F9" w:rsidR="00555AFA" w:rsidRDefault="00062BB1" w:rsidP="008A5929">
      <w:pPr>
        <w:pStyle w:val="bParagraphtext"/>
        <w:numPr>
          <w:ilvl w:val="0"/>
          <w:numId w:val="34"/>
        </w:numPr>
        <w:ind w:left="425" w:hanging="425"/>
        <w:rPr>
          <w:rStyle w:val="ListParagraphChar"/>
        </w:rPr>
      </w:pPr>
      <w:r w:rsidRPr="00C51932">
        <w:rPr>
          <w:color w:val="auto"/>
        </w:rPr>
        <w:t>A</w:t>
      </w:r>
      <w:r w:rsidR="0069476D" w:rsidRPr="00C51932">
        <w:rPr>
          <w:color w:val="auto"/>
        </w:rPr>
        <w:t xml:space="preserve"> number of </w:t>
      </w:r>
      <w:r w:rsidR="007B47A7" w:rsidRPr="00C51932">
        <w:rPr>
          <w:color w:val="auto"/>
        </w:rPr>
        <w:t>proposals do represent changes to</w:t>
      </w:r>
      <w:r w:rsidR="0069476D" w:rsidRPr="00C51932">
        <w:rPr>
          <w:color w:val="auto"/>
        </w:rPr>
        <w:t xml:space="preserve"> current arrangements</w:t>
      </w:r>
      <w:r w:rsidR="007B47A7" w:rsidRPr="00C51932">
        <w:rPr>
          <w:color w:val="auto"/>
        </w:rPr>
        <w:t xml:space="preserve"> and as such may be of particular interest to elected members and the public.</w:t>
      </w:r>
      <w:r w:rsidR="00295311">
        <w:rPr>
          <w:color w:val="auto"/>
        </w:rPr>
        <w:t xml:space="preserve"> </w:t>
      </w:r>
      <w:r w:rsidR="005E5D3A" w:rsidRPr="00C51932">
        <w:rPr>
          <w:color w:val="auto"/>
        </w:rPr>
        <w:t>The</w:t>
      </w:r>
      <w:r w:rsidR="003846A1">
        <w:rPr>
          <w:color w:val="auto"/>
        </w:rPr>
        <w:t xml:space="preserve"> more significant changes are highlighted </w:t>
      </w:r>
      <w:r w:rsidR="008A5929">
        <w:rPr>
          <w:color w:val="auto"/>
        </w:rPr>
        <w:t>in the table below.</w:t>
      </w:r>
      <w:r w:rsidR="0007365E" w:rsidRPr="008A5929">
        <w:rPr>
          <w:color w:val="auto"/>
        </w:rPr>
        <w:t xml:space="preserve"> </w:t>
      </w:r>
      <w:r w:rsidR="0013357B">
        <w:rPr>
          <w:color w:val="auto"/>
        </w:rPr>
        <w:t>Item # refers to the numbering of the proposals in the appendices.</w:t>
      </w:r>
      <w:r w:rsidR="0007365E" w:rsidRPr="008A5929">
        <w:rPr>
          <w:color w:val="auto"/>
        </w:rPr>
        <w:t xml:space="preserve"> </w:t>
      </w:r>
      <w:r w:rsidRPr="008A5929">
        <w:rPr>
          <w:b/>
        </w:rPr>
        <w:tab/>
      </w:r>
    </w:p>
    <w:p w14:paraId="2B2920EE" w14:textId="77777777" w:rsidR="003F0CC9" w:rsidRPr="007B7454" w:rsidRDefault="003F0CC9" w:rsidP="003F0CC9">
      <w:pPr>
        <w:spacing w:after="0"/>
        <w:rPr>
          <w:rFonts w:eastAsia="Calibri" w:cs="Arial"/>
          <w:b/>
        </w:rPr>
      </w:pPr>
    </w:p>
    <w:tbl>
      <w:tblPr>
        <w:tblStyle w:val="TableGrid"/>
        <w:tblW w:w="11057" w:type="dxa"/>
        <w:tblInd w:w="-856" w:type="dxa"/>
        <w:tblLayout w:type="fixed"/>
        <w:tblLook w:val="04A0" w:firstRow="1" w:lastRow="0" w:firstColumn="1" w:lastColumn="0" w:noHBand="0" w:noVBand="1"/>
      </w:tblPr>
      <w:tblGrid>
        <w:gridCol w:w="993"/>
        <w:gridCol w:w="2552"/>
        <w:gridCol w:w="3685"/>
        <w:gridCol w:w="3827"/>
      </w:tblGrid>
      <w:tr w:rsidR="00C67700" w14:paraId="290048DE" w14:textId="77777777" w:rsidTr="0013357B">
        <w:tc>
          <w:tcPr>
            <w:tcW w:w="993" w:type="dxa"/>
          </w:tcPr>
          <w:p w14:paraId="5058E50D" w14:textId="1D268E86" w:rsidR="00C67700" w:rsidRDefault="0013357B" w:rsidP="00C67700">
            <w:pPr>
              <w:spacing w:line="480" w:lineRule="auto"/>
              <w:rPr>
                <w:rFonts w:eastAsia="Calibri"/>
                <w:b/>
              </w:rPr>
            </w:pPr>
            <w:r>
              <w:rPr>
                <w:rFonts w:eastAsia="Calibri"/>
                <w:b/>
              </w:rPr>
              <w:t>Item #</w:t>
            </w:r>
          </w:p>
        </w:tc>
        <w:tc>
          <w:tcPr>
            <w:tcW w:w="2552" w:type="dxa"/>
          </w:tcPr>
          <w:p w14:paraId="63E11862" w14:textId="4BC26AC2" w:rsidR="00C67700" w:rsidRPr="007B7454" w:rsidRDefault="00C67700" w:rsidP="002F3FCE">
            <w:pPr>
              <w:rPr>
                <w:rFonts w:eastAsia="Calibri"/>
                <w:b/>
              </w:rPr>
            </w:pPr>
            <w:r>
              <w:rPr>
                <w:rFonts w:eastAsia="Calibri"/>
                <w:b/>
              </w:rPr>
              <w:t>Constitution reference</w:t>
            </w:r>
          </w:p>
        </w:tc>
        <w:tc>
          <w:tcPr>
            <w:tcW w:w="3685" w:type="dxa"/>
          </w:tcPr>
          <w:p w14:paraId="4D716435" w14:textId="77777777" w:rsidR="00C67700" w:rsidRPr="007B7454" w:rsidRDefault="00C67700" w:rsidP="002F3FCE">
            <w:pPr>
              <w:rPr>
                <w:rFonts w:eastAsia="Calibri"/>
                <w:b/>
              </w:rPr>
            </w:pPr>
            <w:r w:rsidRPr="007B7454">
              <w:rPr>
                <w:rFonts w:eastAsia="Calibri"/>
                <w:b/>
              </w:rPr>
              <w:t>Proposed change</w:t>
            </w:r>
            <w:r>
              <w:rPr>
                <w:rFonts w:eastAsia="Calibri"/>
                <w:b/>
              </w:rPr>
              <w:t>(s)</w:t>
            </w:r>
          </w:p>
        </w:tc>
        <w:tc>
          <w:tcPr>
            <w:tcW w:w="3827" w:type="dxa"/>
          </w:tcPr>
          <w:p w14:paraId="121E21B8" w14:textId="77777777" w:rsidR="00C67700" w:rsidRPr="007B7454" w:rsidRDefault="00C67700" w:rsidP="002F3FCE">
            <w:pPr>
              <w:rPr>
                <w:rFonts w:eastAsia="Calibri"/>
                <w:b/>
              </w:rPr>
            </w:pPr>
            <w:r w:rsidRPr="007B7454">
              <w:rPr>
                <w:rFonts w:eastAsia="Calibri"/>
                <w:b/>
              </w:rPr>
              <w:t>Rationale</w:t>
            </w:r>
          </w:p>
        </w:tc>
      </w:tr>
      <w:tr w:rsidR="00C67700" w14:paraId="625F8419" w14:textId="77777777" w:rsidTr="0013357B">
        <w:tc>
          <w:tcPr>
            <w:tcW w:w="993" w:type="dxa"/>
          </w:tcPr>
          <w:p w14:paraId="3C0C0E7E" w14:textId="353D255B" w:rsidR="00C67700" w:rsidRPr="00BA0B0E" w:rsidRDefault="000460A9" w:rsidP="002F3FCE">
            <w:pPr>
              <w:rPr>
                <w:rFonts w:eastAsia="Calibri"/>
              </w:rPr>
            </w:pPr>
            <w:r>
              <w:rPr>
                <w:rFonts w:eastAsia="Calibri"/>
              </w:rPr>
              <w:t>2</w:t>
            </w:r>
          </w:p>
        </w:tc>
        <w:tc>
          <w:tcPr>
            <w:tcW w:w="2552" w:type="dxa"/>
          </w:tcPr>
          <w:p w14:paraId="0AF828E5" w14:textId="7D58032E" w:rsidR="00C67700" w:rsidRDefault="00C67700" w:rsidP="002F3FCE">
            <w:pPr>
              <w:rPr>
                <w:rFonts w:eastAsia="Calibri"/>
              </w:rPr>
            </w:pPr>
            <w:r w:rsidRPr="00BA0B0E">
              <w:rPr>
                <w:rFonts w:eastAsia="Calibri"/>
              </w:rPr>
              <w:t>Part 4.5: Decisions that must be agreed by Cabinet</w:t>
            </w:r>
          </w:p>
        </w:tc>
        <w:tc>
          <w:tcPr>
            <w:tcW w:w="3685" w:type="dxa"/>
          </w:tcPr>
          <w:p w14:paraId="6D458E2A" w14:textId="77777777" w:rsidR="00C67700" w:rsidRPr="00D25AD1" w:rsidRDefault="00C67700" w:rsidP="00BA0B0E">
            <w:pPr>
              <w:pStyle w:val="ListParagraph"/>
              <w:numPr>
                <w:ilvl w:val="0"/>
                <w:numId w:val="40"/>
              </w:numPr>
              <w:tabs>
                <w:tab w:val="clear" w:pos="426"/>
              </w:tabs>
              <w:spacing w:after="0"/>
              <w:contextualSpacing/>
              <w:rPr>
                <w:rFonts w:eastAsia="Calibri"/>
              </w:rPr>
            </w:pPr>
            <w:r w:rsidRPr="00BA0B0E">
              <w:rPr>
                <w:rFonts w:eastAsia="Calibri"/>
              </w:rPr>
              <w:t>To include a higher threshold for project approval from Cabinet of £1m for contract awards (all other project approvals to remain with Cabinet at £500k and above).</w:t>
            </w:r>
          </w:p>
        </w:tc>
        <w:tc>
          <w:tcPr>
            <w:tcW w:w="3827" w:type="dxa"/>
          </w:tcPr>
          <w:p w14:paraId="206BCB35" w14:textId="77777777" w:rsidR="00C67700" w:rsidRDefault="00C67700" w:rsidP="002F3FCE">
            <w:pPr>
              <w:rPr>
                <w:rFonts w:eastAsia="Calibri"/>
              </w:rPr>
            </w:pPr>
            <w:r w:rsidRPr="00BA0B0E">
              <w:rPr>
                <w:rFonts w:eastAsia="Calibri"/>
              </w:rPr>
              <w:t>Currently officers have delegated authority to award contracts up to the value of £1m however the threshold for Cabinet to grant project approval is £500k (which applies to some contract awards). This change would enable officers to award contracts up to the value of £1m without any authorisation from Cabinet.</w:t>
            </w:r>
          </w:p>
        </w:tc>
      </w:tr>
      <w:tr w:rsidR="00C67700" w14:paraId="5DA066C5" w14:textId="77777777" w:rsidTr="0013357B">
        <w:tc>
          <w:tcPr>
            <w:tcW w:w="993" w:type="dxa"/>
          </w:tcPr>
          <w:p w14:paraId="25D652CB" w14:textId="05CEF2C6" w:rsidR="00C67700" w:rsidRPr="00BA0B0E" w:rsidRDefault="000460A9" w:rsidP="002F3FCE">
            <w:pPr>
              <w:rPr>
                <w:rFonts w:eastAsia="Calibri"/>
              </w:rPr>
            </w:pPr>
            <w:r>
              <w:rPr>
                <w:rFonts w:eastAsia="Calibri"/>
              </w:rPr>
              <w:t>3</w:t>
            </w:r>
          </w:p>
        </w:tc>
        <w:tc>
          <w:tcPr>
            <w:tcW w:w="2552" w:type="dxa"/>
          </w:tcPr>
          <w:p w14:paraId="055B96BE" w14:textId="3594C3D4" w:rsidR="00C67700" w:rsidRPr="007B7454" w:rsidRDefault="00C67700" w:rsidP="002F3FCE">
            <w:pPr>
              <w:rPr>
                <w:rFonts w:eastAsia="Calibri"/>
              </w:rPr>
            </w:pPr>
            <w:r w:rsidRPr="00BA0B0E">
              <w:rPr>
                <w:rFonts w:eastAsia="Calibri"/>
              </w:rPr>
              <w:t>Part 4.6: Delegation to single Cabinet Members</w:t>
            </w:r>
          </w:p>
        </w:tc>
        <w:tc>
          <w:tcPr>
            <w:tcW w:w="3685" w:type="dxa"/>
          </w:tcPr>
          <w:p w14:paraId="25B29A77" w14:textId="77777777" w:rsidR="00C67700" w:rsidRPr="00D25AD1" w:rsidRDefault="00C67700" w:rsidP="00BA0B0E">
            <w:pPr>
              <w:pStyle w:val="ListParagraph"/>
              <w:numPr>
                <w:ilvl w:val="0"/>
                <w:numId w:val="39"/>
              </w:numPr>
              <w:tabs>
                <w:tab w:val="clear" w:pos="426"/>
              </w:tabs>
              <w:spacing w:after="0"/>
              <w:contextualSpacing/>
              <w:rPr>
                <w:rFonts w:eastAsia="Calibri"/>
              </w:rPr>
            </w:pPr>
            <w:r w:rsidRPr="00BA0B0E">
              <w:rPr>
                <w:rFonts w:eastAsia="Calibri"/>
              </w:rPr>
              <w:t>To include the principle that an officer report will be published 5 clear days before a decision is taken by an individual Cabinet Member – akin to any other executive decisions that are taken by Cabinet or the Shareholder and Joint Venture Group, where the reports and agenda are published 5 clear working days before the meeting.</w:t>
            </w:r>
          </w:p>
        </w:tc>
        <w:tc>
          <w:tcPr>
            <w:tcW w:w="3827" w:type="dxa"/>
          </w:tcPr>
          <w:p w14:paraId="4FDC9DD9" w14:textId="77777777" w:rsidR="00C67700" w:rsidRDefault="00C67700" w:rsidP="002F3FCE">
            <w:pPr>
              <w:rPr>
                <w:rFonts w:eastAsia="Calibri"/>
              </w:rPr>
            </w:pPr>
            <w:r w:rsidRPr="00BA0B0E">
              <w:rPr>
                <w:rFonts w:eastAsia="Calibri"/>
              </w:rPr>
              <w:t>To promote transparency so the public knows what decisions are being made, but</w:t>
            </w:r>
            <w:r>
              <w:rPr>
                <w:rFonts w:eastAsia="Calibri"/>
              </w:rPr>
              <w:t xml:space="preserve"> </w:t>
            </w:r>
            <w:r w:rsidRPr="00BA0B0E">
              <w:rPr>
                <w:rFonts w:eastAsia="Calibri"/>
              </w:rPr>
              <w:t>also to promote the visibility of such decisions to Members.</w:t>
            </w:r>
          </w:p>
        </w:tc>
      </w:tr>
      <w:tr w:rsidR="00C67700" w14:paraId="35F7ED90" w14:textId="77777777" w:rsidTr="0013357B">
        <w:tc>
          <w:tcPr>
            <w:tcW w:w="993" w:type="dxa"/>
          </w:tcPr>
          <w:p w14:paraId="493F480E" w14:textId="6F4439D1" w:rsidR="00C67700" w:rsidRPr="00BA0B0E" w:rsidRDefault="000460A9" w:rsidP="002F3FCE">
            <w:pPr>
              <w:rPr>
                <w:rFonts w:eastAsia="Calibri"/>
              </w:rPr>
            </w:pPr>
            <w:r>
              <w:rPr>
                <w:rFonts w:eastAsia="Calibri"/>
              </w:rPr>
              <w:t>6</w:t>
            </w:r>
          </w:p>
        </w:tc>
        <w:tc>
          <w:tcPr>
            <w:tcW w:w="2552" w:type="dxa"/>
          </w:tcPr>
          <w:p w14:paraId="6D9384B5" w14:textId="2A32FD4E" w:rsidR="00C67700" w:rsidRPr="007B7454" w:rsidRDefault="00C67700" w:rsidP="002F3FCE">
            <w:pPr>
              <w:rPr>
                <w:rFonts w:eastAsia="Calibri"/>
              </w:rPr>
            </w:pPr>
            <w:r w:rsidRPr="00BA0B0E">
              <w:rPr>
                <w:rFonts w:eastAsia="Calibri"/>
              </w:rPr>
              <w:t>Part 11.11: Questions and statements by councillors</w:t>
            </w:r>
          </w:p>
        </w:tc>
        <w:tc>
          <w:tcPr>
            <w:tcW w:w="3685" w:type="dxa"/>
          </w:tcPr>
          <w:p w14:paraId="4F56F83B" w14:textId="77777777" w:rsidR="00C67700" w:rsidRPr="00E900E3" w:rsidRDefault="00C67700" w:rsidP="00BA0B0E">
            <w:pPr>
              <w:pStyle w:val="ListParagraph"/>
              <w:numPr>
                <w:ilvl w:val="0"/>
                <w:numId w:val="38"/>
              </w:numPr>
              <w:tabs>
                <w:tab w:val="clear" w:pos="426"/>
              </w:tabs>
              <w:spacing w:after="0"/>
              <w:contextualSpacing/>
              <w:rPr>
                <w:rFonts w:eastAsia="Calibri"/>
              </w:rPr>
            </w:pPr>
            <w:r w:rsidRPr="00BA0B0E">
              <w:rPr>
                <w:rFonts w:eastAsia="Calibri"/>
              </w:rPr>
              <w:t>To authorise officers to order questions on notice and to group similar questions.</w:t>
            </w:r>
          </w:p>
        </w:tc>
        <w:tc>
          <w:tcPr>
            <w:tcW w:w="3827" w:type="dxa"/>
          </w:tcPr>
          <w:p w14:paraId="567DDF9A" w14:textId="77777777" w:rsidR="00C67700" w:rsidRDefault="00C67700" w:rsidP="002F3FCE">
            <w:pPr>
              <w:rPr>
                <w:rFonts w:eastAsia="Calibri"/>
              </w:rPr>
            </w:pPr>
            <w:r w:rsidRPr="00BA0B0E">
              <w:rPr>
                <w:rFonts w:eastAsia="Calibri"/>
              </w:rPr>
              <w:t>To clarify that officers are responsible for the order in which questions on notice are listed on the agenda. In practice questions on notice are grouped by Cabinet Member rather than taken in the order in which they are received. The grouping</w:t>
            </w:r>
            <w:r>
              <w:rPr>
                <w:rFonts w:eastAsia="Calibri"/>
              </w:rPr>
              <w:t xml:space="preserve"> of</w:t>
            </w:r>
            <w:r w:rsidRPr="00BA0B0E">
              <w:rPr>
                <w:rFonts w:eastAsia="Calibri"/>
              </w:rPr>
              <w:t xml:space="preserve"> similar questions was supported by the Cross-party group</w:t>
            </w:r>
          </w:p>
        </w:tc>
      </w:tr>
      <w:tr w:rsidR="00C67700" w14:paraId="2A3C94EE" w14:textId="77777777" w:rsidTr="0013357B">
        <w:tc>
          <w:tcPr>
            <w:tcW w:w="993" w:type="dxa"/>
          </w:tcPr>
          <w:p w14:paraId="4964398B" w14:textId="276B075B" w:rsidR="00C67700" w:rsidRPr="00BA0B0E" w:rsidRDefault="000460A9" w:rsidP="002F3FCE">
            <w:pPr>
              <w:rPr>
                <w:rFonts w:eastAsia="Calibri"/>
              </w:rPr>
            </w:pPr>
            <w:r>
              <w:rPr>
                <w:rFonts w:eastAsia="Calibri"/>
              </w:rPr>
              <w:t>7</w:t>
            </w:r>
          </w:p>
        </w:tc>
        <w:tc>
          <w:tcPr>
            <w:tcW w:w="2552" w:type="dxa"/>
          </w:tcPr>
          <w:p w14:paraId="03618642" w14:textId="1BBC27A1" w:rsidR="00C67700" w:rsidRDefault="00C67700" w:rsidP="002F3FCE">
            <w:pPr>
              <w:rPr>
                <w:rFonts w:eastAsia="Calibri"/>
              </w:rPr>
            </w:pPr>
            <w:r w:rsidRPr="00BA0B0E">
              <w:rPr>
                <w:rFonts w:eastAsia="Calibri"/>
              </w:rPr>
              <w:t>Part 11.11 Questions and statements by councillors</w:t>
            </w:r>
          </w:p>
        </w:tc>
        <w:tc>
          <w:tcPr>
            <w:tcW w:w="3685" w:type="dxa"/>
          </w:tcPr>
          <w:p w14:paraId="4F683664" w14:textId="77777777" w:rsidR="00C67700" w:rsidRDefault="00C67700" w:rsidP="00BA0B0E">
            <w:pPr>
              <w:pStyle w:val="ListParagraph"/>
              <w:numPr>
                <w:ilvl w:val="0"/>
                <w:numId w:val="41"/>
              </w:numPr>
              <w:tabs>
                <w:tab w:val="clear" w:pos="426"/>
              </w:tabs>
              <w:spacing w:after="0"/>
              <w:contextualSpacing/>
              <w:rPr>
                <w:rFonts w:eastAsia="Calibri"/>
              </w:rPr>
            </w:pPr>
            <w:r w:rsidRPr="00BA0B0E">
              <w:rPr>
                <w:rFonts w:eastAsia="Calibri"/>
              </w:rPr>
              <w:t>To include a sub-section on answering questions stating that members answering questions can offer to follow up with a written response within 5 working days of the meeting if they do not have the answer to hand and that any written responses will be added to the minutes of the meeting.</w:t>
            </w:r>
          </w:p>
        </w:tc>
        <w:tc>
          <w:tcPr>
            <w:tcW w:w="3827" w:type="dxa"/>
          </w:tcPr>
          <w:p w14:paraId="6BFB7ECE" w14:textId="77777777" w:rsidR="00C67700" w:rsidRDefault="00C67700" w:rsidP="009B3081">
            <w:pPr>
              <w:rPr>
                <w:rFonts w:eastAsia="Calibri"/>
              </w:rPr>
            </w:pPr>
            <w:r w:rsidRPr="00BA0B0E">
              <w:rPr>
                <w:rFonts w:eastAsia="Calibri"/>
              </w:rPr>
              <w:t>To clarify that the member responsible for answering a question can offer to provide a written response, with provisions for ensuring the timeliness and visibility of written responses.</w:t>
            </w:r>
          </w:p>
        </w:tc>
      </w:tr>
      <w:tr w:rsidR="00C67700" w14:paraId="61515E5C" w14:textId="77777777" w:rsidTr="0013357B">
        <w:tc>
          <w:tcPr>
            <w:tcW w:w="993" w:type="dxa"/>
          </w:tcPr>
          <w:p w14:paraId="2D12E263" w14:textId="20E14352" w:rsidR="00C67700" w:rsidRPr="00270C92" w:rsidRDefault="00496A3F" w:rsidP="002F3FCE">
            <w:pPr>
              <w:rPr>
                <w:rFonts w:eastAsia="Calibri"/>
              </w:rPr>
            </w:pPr>
            <w:r>
              <w:rPr>
                <w:rFonts w:eastAsia="Calibri"/>
              </w:rPr>
              <w:t>8</w:t>
            </w:r>
          </w:p>
        </w:tc>
        <w:tc>
          <w:tcPr>
            <w:tcW w:w="2552" w:type="dxa"/>
          </w:tcPr>
          <w:p w14:paraId="462D9A08" w14:textId="2C7EA8AC" w:rsidR="00C67700" w:rsidRDefault="00C67700" w:rsidP="002F3FCE">
            <w:pPr>
              <w:rPr>
                <w:rFonts w:eastAsia="Calibri"/>
              </w:rPr>
            </w:pPr>
            <w:r w:rsidRPr="00270C92">
              <w:rPr>
                <w:rFonts w:eastAsia="Calibri"/>
              </w:rPr>
              <w:t>Part 12.7 Cabinet procedures: order of business</w:t>
            </w:r>
          </w:p>
        </w:tc>
        <w:tc>
          <w:tcPr>
            <w:tcW w:w="3685" w:type="dxa"/>
          </w:tcPr>
          <w:p w14:paraId="5E7AEF4F" w14:textId="77777777" w:rsidR="00C67700" w:rsidRPr="00FB57B4" w:rsidRDefault="00C67700" w:rsidP="00270C92">
            <w:pPr>
              <w:pStyle w:val="ListParagraph"/>
              <w:numPr>
                <w:ilvl w:val="0"/>
                <w:numId w:val="41"/>
              </w:numPr>
              <w:tabs>
                <w:tab w:val="clear" w:pos="426"/>
              </w:tabs>
              <w:spacing w:after="0"/>
              <w:contextualSpacing/>
              <w:rPr>
                <w:rFonts w:eastAsia="Calibri"/>
              </w:rPr>
            </w:pPr>
            <w:r>
              <w:rPr>
                <w:rFonts w:eastAsia="Calibri"/>
              </w:rPr>
              <w:t>To include</w:t>
            </w:r>
            <w:r w:rsidRPr="00270C92">
              <w:rPr>
                <w:rFonts w:eastAsia="Calibri"/>
              </w:rPr>
              <w:t xml:space="preserve"> a rule that Cabinet must respond to recommendations from the Scrutiny Committee within two months unless the Chair of the Scrutiny Committee agrees to an extension.</w:t>
            </w:r>
          </w:p>
        </w:tc>
        <w:tc>
          <w:tcPr>
            <w:tcW w:w="3827" w:type="dxa"/>
          </w:tcPr>
          <w:p w14:paraId="2D3B91B3" w14:textId="77777777" w:rsidR="00C67700" w:rsidRDefault="00C67700" w:rsidP="00CA5357">
            <w:pPr>
              <w:spacing w:after="0"/>
              <w:rPr>
                <w:rFonts w:eastAsia="Calibri"/>
              </w:rPr>
            </w:pPr>
            <w:r w:rsidRPr="00270C92">
              <w:rPr>
                <w:rFonts w:eastAsia="Calibri" w:cs="Arial"/>
              </w:rPr>
              <w:t>The duty of the executive to respond to Scrutiny within two months is set out in 9FE of the Local Government 2000.</w:t>
            </w:r>
          </w:p>
        </w:tc>
      </w:tr>
      <w:tr w:rsidR="00C67700" w14:paraId="57597914" w14:textId="77777777" w:rsidTr="0013357B">
        <w:tc>
          <w:tcPr>
            <w:tcW w:w="993" w:type="dxa"/>
          </w:tcPr>
          <w:p w14:paraId="321DE58C" w14:textId="45F09C28" w:rsidR="00C67700" w:rsidRPr="005C7FBE" w:rsidRDefault="000460A9" w:rsidP="00496A3F">
            <w:pPr>
              <w:rPr>
                <w:rFonts w:eastAsia="Calibri"/>
              </w:rPr>
            </w:pPr>
            <w:r>
              <w:rPr>
                <w:rFonts w:eastAsia="Calibri"/>
              </w:rPr>
              <w:t>1</w:t>
            </w:r>
            <w:r w:rsidR="00496A3F">
              <w:rPr>
                <w:rFonts w:eastAsia="Calibri"/>
              </w:rPr>
              <w:t>1</w:t>
            </w:r>
            <w:bookmarkStart w:id="0" w:name="_GoBack"/>
            <w:bookmarkEnd w:id="0"/>
          </w:p>
        </w:tc>
        <w:tc>
          <w:tcPr>
            <w:tcW w:w="2552" w:type="dxa"/>
          </w:tcPr>
          <w:p w14:paraId="099DE390" w14:textId="4883B56C" w:rsidR="00C67700" w:rsidRPr="00270C92" w:rsidRDefault="00C67700" w:rsidP="002F3FCE">
            <w:pPr>
              <w:rPr>
                <w:rFonts w:eastAsia="Calibri"/>
              </w:rPr>
            </w:pPr>
            <w:r w:rsidRPr="005C7FBE">
              <w:rPr>
                <w:rFonts w:eastAsia="Calibri"/>
              </w:rPr>
              <w:t>Part 15.14: Key decisions</w:t>
            </w:r>
          </w:p>
        </w:tc>
        <w:tc>
          <w:tcPr>
            <w:tcW w:w="3685" w:type="dxa"/>
          </w:tcPr>
          <w:p w14:paraId="092FD39F" w14:textId="77777777" w:rsidR="00C67700" w:rsidRDefault="00C67700" w:rsidP="005C7FBE">
            <w:pPr>
              <w:pStyle w:val="ListParagraph"/>
              <w:numPr>
                <w:ilvl w:val="0"/>
                <w:numId w:val="41"/>
              </w:numPr>
              <w:tabs>
                <w:tab w:val="clear" w:pos="426"/>
              </w:tabs>
              <w:spacing w:after="0"/>
              <w:contextualSpacing/>
              <w:rPr>
                <w:rFonts w:eastAsia="Calibri"/>
              </w:rPr>
            </w:pPr>
            <w:r w:rsidRPr="005C7FBE">
              <w:rPr>
                <w:rFonts w:eastAsia="Calibri"/>
              </w:rPr>
              <w:t>To align the key decision rules with the financial thresholds for matters reserved to Cabinet:</w:t>
            </w:r>
          </w:p>
        </w:tc>
        <w:tc>
          <w:tcPr>
            <w:tcW w:w="3827" w:type="dxa"/>
          </w:tcPr>
          <w:p w14:paraId="0AD6391B" w14:textId="77777777" w:rsidR="00C67700" w:rsidRPr="00270C92" w:rsidRDefault="00C67700" w:rsidP="00CA5357">
            <w:pPr>
              <w:spacing w:after="0"/>
              <w:rPr>
                <w:rFonts w:eastAsia="Calibri" w:cs="Arial"/>
              </w:rPr>
            </w:pPr>
            <w:r w:rsidRPr="005C7FBE">
              <w:rPr>
                <w:rFonts w:eastAsia="Calibri" w:cs="Arial"/>
              </w:rPr>
              <w:t>To simplify the governance around decision making by ensuring that all key decisions are automatically matters reserved to Cabinet in the first instance (key decisions may then be delegated by Cabinet). Currently key decisions on contract awards &gt;£500k &lt;£1m are delegated to officers although some may require project approval from Cabinet &gt;£500k.</w:t>
            </w:r>
          </w:p>
        </w:tc>
      </w:tr>
    </w:tbl>
    <w:p w14:paraId="1E86DDEB" w14:textId="77777777" w:rsidR="00C63C3B" w:rsidRDefault="00C63C3B" w:rsidP="00C63C3B">
      <w:pPr>
        <w:spacing w:after="0"/>
      </w:pPr>
    </w:p>
    <w:p w14:paraId="36FC3832" w14:textId="77777777" w:rsidR="00E039CD" w:rsidRDefault="008A5929" w:rsidP="00E039CD">
      <w:pPr>
        <w:pStyle w:val="ListParagraph"/>
        <w:numPr>
          <w:ilvl w:val="0"/>
          <w:numId w:val="34"/>
        </w:numPr>
      </w:pPr>
      <w:r w:rsidRPr="003F158B">
        <w:t xml:space="preserve">Council is asked to approve the proposed amendments and to delegate authority to the Head of Law and Governance to make any other amendments necessary to ensure consistency throughout the Constitution, subsequent to the changes approved by Council. </w:t>
      </w:r>
      <w:r w:rsidR="00E039CD" w:rsidRPr="00E039CD">
        <w:t>It is proposed that the changes agreed by Council will be effective from the date of the next Annual Council meeting, on 18 May 2022.</w:t>
      </w:r>
    </w:p>
    <w:p w14:paraId="41C7EAFA" w14:textId="7E6F3266" w:rsidR="004574B8" w:rsidRDefault="004574B8" w:rsidP="00FD0B63">
      <w:pPr>
        <w:pStyle w:val="ListParagraph"/>
        <w:numPr>
          <w:ilvl w:val="0"/>
          <w:numId w:val="34"/>
        </w:numPr>
      </w:pPr>
      <w:r>
        <w:t>Council is also asked to approve a refresh of the dispensations contained in Part 22.5(e) of the Constitution for a further four years</w:t>
      </w:r>
      <w:r w:rsidR="004A37C5">
        <w:t xml:space="preserve"> from 1 October 2022</w:t>
      </w:r>
      <w:r>
        <w:t xml:space="preserve">. The Council may grant general dispensations applicable to all Councillors. </w:t>
      </w:r>
      <w:r w:rsidR="00FD0B63" w:rsidRPr="00FD0B63">
        <w:t xml:space="preserve">The Constitution currently provides that </w:t>
      </w:r>
      <w:r w:rsidR="00FD0B63">
        <w:t>u</w:t>
      </w:r>
      <w:r>
        <w:t>nder section 33 of the Localism Act 2011 the following dispensations were granted for four years on 1 October 2018:</w:t>
      </w:r>
    </w:p>
    <w:p w14:paraId="4A16D745" w14:textId="61509A30" w:rsidR="004574B8" w:rsidRDefault="004574B8" w:rsidP="00FD0B63">
      <w:pPr>
        <w:pStyle w:val="ListParagraph"/>
        <w:numPr>
          <w:ilvl w:val="1"/>
          <w:numId w:val="34"/>
        </w:numPr>
      </w:pPr>
      <w:r>
        <w:t>Determining an allowance (including special responsibility allowances), travelling expense, payment or indemnity given to Members</w:t>
      </w:r>
    </w:p>
    <w:p w14:paraId="5A029590" w14:textId="31B9EC35" w:rsidR="004574B8" w:rsidRDefault="004574B8" w:rsidP="00FD0B63">
      <w:pPr>
        <w:pStyle w:val="ListParagraph"/>
        <w:numPr>
          <w:ilvl w:val="0"/>
          <w:numId w:val="41"/>
        </w:numPr>
        <w:ind w:left="1080"/>
      </w:pPr>
      <w:r>
        <w:t>Housing: where the Member (or spouse or partner) holds a tenancy or lease with the Council as long as the matter does not relate to the particular tenancy or lease of the Member (their spouse or partner);</w:t>
      </w:r>
    </w:p>
    <w:p w14:paraId="5699872B" w14:textId="445B4F0D" w:rsidR="004574B8" w:rsidRDefault="004574B8" w:rsidP="00FD0B63">
      <w:pPr>
        <w:pStyle w:val="ListParagraph"/>
        <w:numPr>
          <w:ilvl w:val="0"/>
          <w:numId w:val="41"/>
        </w:numPr>
        <w:ind w:left="1080"/>
      </w:pPr>
      <w:r>
        <w:t>Housing Benefit: where the Councillor (or spouse or partner) receives housing benefit;</w:t>
      </w:r>
    </w:p>
    <w:p w14:paraId="5AE3661E" w14:textId="1B280D81" w:rsidR="004574B8" w:rsidRDefault="004574B8" w:rsidP="00FD0B63">
      <w:pPr>
        <w:pStyle w:val="ListParagraph"/>
        <w:numPr>
          <w:ilvl w:val="0"/>
          <w:numId w:val="41"/>
        </w:numPr>
        <w:ind w:left="1080"/>
      </w:pPr>
      <w:r>
        <w:t>Any Ceremonial Honours given to Members;</w:t>
      </w:r>
    </w:p>
    <w:p w14:paraId="60AF00AB" w14:textId="616D0A56" w:rsidR="004574B8" w:rsidRDefault="004574B8" w:rsidP="00FD0B63">
      <w:pPr>
        <w:pStyle w:val="ListParagraph"/>
        <w:numPr>
          <w:ilvl w:val="0"/>
          <w:numId w:val="41"/>
        </w:numPr>
        <w:ind w:left="1080"/>
      </w:pPr>
      <w:r>
        <w:t>Setting the Council Tax or a precept under the Local Government and</w:t>
      </w:r>
      <w:r w:rsidR="00FD0B63">
        <w:t xml:space="preserve"> </w:t>
      </w:r>
      <w:r>
        <w:t>Finance Act 1992 (or any subsequent legislation); and</w:t>
      </w:r>
    </w:p>
    <w:p w14:paraId="68A7DFD9" w14:textId="6AA1282F" w:rsidR="004574B8" w:rsidRPr="00E039CD" w:rsidRDefault="004574B8" w:rsidP="00FD0B63">
      <w:pPr>
        <w:pStyle w:val="ListParagraph"/>
        <w:numPr>
          <w:ilvl w:val="0"/>
          <w:numId w:val="41"/>
        </w:numPr>
        <w:ind w:left="1080"/>
      </w:pPr>
      <w:r>
        <w:t>Setting a Local Council Tax Reduction Scheme or Local scheme for the</w:t>
      </w:r>
      <w:r w:rsidR="00FD0B63">
        <w:t xml:space="preserve"> </w:t>
      </w:r>
      <w:r>
        <w:t>payment of business rates (including eligibility for rebates and reductions)</w:t>
      </w:r>
      <w:r w:rsidR="00FD0B63">
        <w:t xml:space="preserve"> </w:t>
      </w:r>
      <w:r>
        <w:t>for the purposes of the Local Government Finance Act 2012 (or any</w:t>
      </w:r>
      <w:r w:rsidR="00FD0B63">
        <w:t xml:space="preserve"> </w:t>
      </w:r>
      <w:r>
        <w:t>subsequent legislation)</w:t>
      </w:r>
    </w:p>
    <w:p w14:paraId="05049602" w14:textId="77777777" w:rsidR="00FB57B4" w:rsidRDefault="00FB57B4" w:rsidP="00FB0487">
      <w:pPr>
        <w:pStyle w:val="bParagraphtext"/>
        <w:rPr>
          <w:rStyle w:val="ListParagraphChar"/>
          <w:b/>
        </w:rPr>
      </w:pPr>
    </w:p>
    <w:p w14:paraId="1BFB74EA" w14:textId="77777777" w:rsidR="007B47A7" w:rsidRPr="007B47A7" w:rsidRDefault="007B47A7" w:rsidP="00FB0487">
      <w:pPr>
        <w:pStyle w:val="bParagraphtext"/>
        <w:rPr>
          <w:rStyle w:val="ListParagraphChar"/>
          <w:b/>
        </w:rPr>
      </w:pPr>
      <w:r>
        <w:rPr>
          <w:rStyle w:val="ListParagraphChar"/>
          <w:b/>
        </w:rPr>
        <w:t>Monitoring Officer’s use of delegated authority</w:t>
      </w:r>
    </w:p>
    <w:p w14:paraId="18C0F29A" w14:textId="77777777" w:rsidR="00E039CD" w:rsidRDefault="00DD068B" w:rsidP="00C67700">
      <w:pPr>
        <w:pStyle w:val="ListParagraph"/>
        <w:numPr>
          <w:ilvl w:val="0"/>
          <w:numId w:val="34"/>
        </w:numPr>
        <w:tabs>
          <w:tab w:val="clear" w:pos="426"/>
        </w:tabs>
        <w:spacing w:after="0"/>
        <w:ind w:left="426" w:hanging="426"/>
        <w:contextualSpacing/>
      </w:pPr>
      <w:r w:rsidRPr="00D6291F">
        <w:rPr>
          <w:rStyle w:val="ListParagraphChar"/>
          <w:color w:val="auto"/>
        </w:rPr>
        <w:t>Part 2.5 of the Constitution</w:t>
      </w:r>
      <w:r>
        <w:rPr>
          <w:rStyle w:val="ListParagraphChar"/>
          <w:color w:val="auto"/>
        </w:rPr>
        <w:t xml:space="preserve"> </w:t>
      </w:r>
      <w:r w:rsidR="00E039CD">
        <w:rPr>
          <w:rStyle w:val="ListParagraphChar"/>
          <w:color w:val="auto"/>
        </w:rPr>
        <w:t>provides</w:t>
      </w:r>
      <w:r>
        <w:rPr>
          <w:rStyle w:val="ListParagraphChar"/>
          <w:color w:val="auto"/>
        </w:rPr>
        <w:t xml:space="preserve"> that the Monitoring Officer can change the Constitution if it is to put right clerical mistakes or to make it follow the law. </w:t>
      </w:r>
      <w:r w:rsidR="00CE6151">
        <w:rPr>
          <w:rStyle w:val="ListParagraphChar"/>
          <w:color w:val="auto"/>
        </w:rPr>
        <w:t>T</w:t>
      </w:r>
      <w:r w:rsidR="00997B37" w:rsidRPr="00CE6151">
        <w:rPr>
          <w:rStyle w:val="ListParagraphChar"/>
          <w:color w:val="auto"/>
        </w:rPr>
        <w:t xml:space="preserve">he </w:t>
      </w:r>
      <w:r w:rsidR="00E715C7" w:rsidRPr="00CE6151">
        <w:rPr>
          <w:rStyle w:val="ListParagraphChar"/>
          <w:color w:val="auto"/>
        </w:rPr>
        <w:t xml:space="preserve">Monitoring Officer </w:t>
      </w:r>
      <w:r w:rsidRPr="00CE6151">
        <w:rPr>
          <w:rStyle w:val="ListParagraphChar"/>
          <w:color w:val="auto"/>
        </w:rPr>
        <w:t>has used her</w:t>
      </w:r>
      <w:r w:rsidR="00E715C7" w:rsidRPr="00CE6151">
        <w:rPr>
          <w:rStyle w:val="ListParagraphChar"/>
          <w:color w:val="auto"/>
        </w:rPr>
        <w:t xml:space="preserve"> delegated authority</w:t>
      </w:r>
      <w:r w:rsidR="00C51932" w:rsidRPr="00CE6151">
        <w:rPr>
          <w:rStyle w:val="ListParagraphChar"/>
          <w:color w:val="auto"/>
        </w:rPr>
        <w:t xml:space="preserve"> </w:t>
      </w:r>
      <w:r w:rsidR="00E715C7" w:rsidRPr="00E715C7">
        <w:rPr>
          <w:rStyle w:val="ListParagraphChar"/>
        </w:rPr>
        <w:t xml:space="preserve">to make any changes necessary to ensure the Constitution continues to reflect the law, </w:t>
      </w:r>
      <w:r w:rsidR="000E2EB7">
        <w:rPr>
          <w:rStyle w:val="ListParagraphChar"/>
        </w:rPr>
        <w:t xml:space="preserve">revise job titles </w:t>
      </w:r>
      <w:r w:rsidR="00E715C7" w:rsidRPr="00E715C7">
        <w:rPr>
          <w:rStyle w:val="ListParagraphChar"/>
        </w:rPr>
        <w:t xml:space="preserve">and to correct clerical mistakes and inconsistencies.  </w:t>
      </w:r>
    </w:p>
    <w:p w14:paraId="3D27BD43" w14:textId="77777777" w:rsidR="00CE6151" w:rsidRDefault="00CE6151" w:rsidP="00CE6151">
      <w:pPr>
        <w:pStyle w:val="ListParagraph"/>
        <w:tabs>
          <w:tab w:val="clear" w:pos="426"/>
        </w:tabs>
        <w:spacing w:after="0"/>
        <w:ind w:left="567"/>
        <w:contextualSpacing/>
        <w:rPr>
          <w:rStyle w:val="ListParagraphChar"/>
        </w:rPr>
      </w:pPr>
    </w:p>
    <w:p w14:paraId="38947979" w14:textId="77777777" w:rsidR="00DD068B" w:rsidRPr="00DD068B" w:rsidRDefault="00E039CD" w:rsidP="00CA5357">
      <w:pPr>
        <w:pStyle w:val="Heading1"/>
        <w:spacing w:before="0"/>
      </w:pPr>
      <w:r>
        <w:t xml:space="preserve">Financial </w:t>
      </w:r>
      <w:r w:rsidR="002329CF" w:rsidRPr="001356F1">
        <w:t>implications</w:t>
      </w:r>
    </w:p>
    <w:p w14:paraId="3304F166" w14:textId="77777777" w:rsidR="00E87F7A" w:rsidRDefault="0069476D" w:rsidP="00C67700">
      <w:pPr>
        <w:pStyle w:val="ListParagraph"/>
        <w:numPr>
          <w:ilvl w:val="0"/>
          <w:numId w:val="34"/>
        </w:numPr>
        <w:tabs>
          <w:tab w:val="clear" w:pos="426"/>
        </w:tabs>
        <w:spacing w:after="0"/>
        <w:ind w:left="426" w:hanging="426"/>
      </w:pPr>
      <w:r>
        <w:t>There are no financial implications arising from the recommendations contained in this report.</w:t>
      </w:r>
    </w:p>
    <w:p w14:paraId="5FAD92BF" w14:textId="77777777" w:rsidR="002D6F34" w:rsidRDefault="002D6F34" w:rsidP="00D6291F">
      <w:pPr>
        <w:pStyle w:val="ListParagraph"/>
        <w:spacing w:after="0"/>
        <w:ind w:left="567" w:hanging="567"/>
      </w:pPr>
    </w:p>
    <w:p w14:paraId="20E3882C" w14:textId="77777777" w:rsidR="0040736F" w:rsidRPr="001356F1" w:rsidRDefault="00DA614B" w:rsidP="00D6291F">
      <w:pPr>
        <w:pStyle w:val="Heading1"/>
        <w:spacing w:before="0"/>
        <w:ind w:left="567" w:hanging="567"/>
      </w:pPr>
      <w:r w:rsidRPr="001356F1">
        <w:t>Legal issues</w:t>
      </w:r>
    </w:p>
    <w:p w14:paraId="53EBD135" w14:textId="77777777" w:rsidR="00DD068B" w:rsidRDefault="00DD068B" w:rsidP="00C67700">
      <w:pPr>
        <w:pStyle w:val="ListParagraph"/>
        <w:numPr>
          <w:ilvl w:val="0"/>
          <w:numId w:val="34"/>
        </w:numPr>
        <w:spacing w:after="0"/>
        <w:ind w:left="426" w:hanging="426"/>
      </w:pPr>
      <w:r>
        <w:t>A local authority is under a duty to prepare and keep up to date its constitution under section 9P of the Local Government Act 2000 as amended. The Constitution must contain:</w:t>
      </w:r>
    </w:p>
    <w:p w14:paraId="18C5B433" w14:textId="77777777" w:rsidR="00E039CD" w:rsidRDefault="00E039CD" w:rsidP="00E039CD">
      <w:pPr>
        <w:pStyle w:val="ListParagraph"/>
        <w:tabs>
          <w:tab w:val="clear" w:pos="426"/>
          <w:tab w:val="left" w:pos="567"/>
        </w:tabs>
        <w:spacing w:after="0"/>
        <w:ind w:left="567"/>
      </w:pPr>
    </w:p>
    <w:p w14:paraId="739EC91D" w14:textId="77777777" w:rsidR="00DD068B" w:rsidRDefault="0034623D" w:rsidP="00DD068B">
      <w:pPr>
        <w:pStyle w:val="ListParagraph"/>
        <w:numPr>
          <w:ilvl w:val="0"/>
          <w:numId w:val="43"/>
        </w:numPr>
        <w:spacing w:after="0"/>
        <w:ind w:firstLine="633"/>
      </w:pPr>
      <w:r>
        <w:t xml:space="preserve">the Council’s </w:t>
      </w:r>
      <w:r w:rsidR="00DD068B">
        <w:t>standing orders/procedure rules;</w:t>
      </w:r>
    </w:p>
    <w:p w14:paraId="2D964D68" w14:textId="77777777" w:rsidR="00DD068B" w:rsidRDefault="0034623D" w:rsidP="00DD068B">
      <w:pPr>
        <w:pStyle w:val="ListParagraph"/>
        <w:numPr>
          <w:ilvl w:val="0"/>
          <w:numId w:val="43"/>
        </w:numPr>
        <w:spacing w:after="0"/>
        <w:ind w:firstLine="633"/>
      </w:pPr>
      <w:r>
        <w:t xml:space="preserve">the Council’s </w:t>
      </w:r>
      <w:r w:rsidR="00DD068B">
        <w:t>members' code of conduct;</w:t>
      </w:r>
    </w:p>
    <w:p w14:paraId="7A244999" w14:textId="77777777" w:rsidR="00DD068B" w:rsidRDefault="00DD068B" w:rsidP="00DD068B">
      <w:pPr>
        <w:pStyle w:val="ListParagraph"/>
        <w:numPr>
          <w:ilvl w:val="0"/>
          <w:numId w:val="43"/>
        </w:numPr>
        <w:spacing w:after="0"/>
        <w:ind w:firstLine="633"/>
      </w:pPr>
      <w:r>
        <w:t>such information as the Secretary of State may direct;</w:t>
      </w:r>
      <w:r w:rsidR="0034623D">
        <w:t xml:space="preserve"> and</w:t>
      </w:r>
    </w:p>
    <w:p w14:paraId="5D2862F9" w14:textId="77777777" w:rsidR="00DD068B" w:rsidRDefault="00DD068B" w:rsidP="00DD068B">
      <w:pPr>
        <w:pStyle w:val="ListParagraph"/>
        <w:numPr>
          <w:ilvl w:val="0"/>
          <w:numId w:val="43"/>
        </w:numPr>
        <w:spacing w:after="0"/>
        <w:ind w:firstLine="633"/>
      </w:pPr>
      <w:r>
        <w:t>such other information (if any) as the authority considers appropriate.</w:t>
      </w:r>
    </w:p>
    <w:p w14:paraId="7169D5FA" w14:textId="77777777" w:rsidR="00DD068B" w:rsidRDefault="00DD068B" w:rsidP="00DD068B">
      <w:pPr>
        <w:spacing w:after="0"/>
        <w:ind w:left="993"/>
      </w:pPr>
    </w:p>
    <w:p w14:paraId="0442CAC4" w14:textId="77777777" w:rsidR="00DD068B" w:rsidRPr="00DD068B" w:rsidRDefault="00DD068B" w:rsidP="00C67700">
      <w:pPr>
        <w:pStyle w:val="ListParagraph"/>
        <w:numPr>
          <w:ilvl w:val="0"/>
          <w:numId w:val="34"/>
        </w:numPr>
        <w:tabs>
          <w:tab w:val="clear" w:pos="426"/>
        </w:tabs>
        <w:spacing w:after="0"/>
        <w:ind w:left="426" w:hanging="426"/>
        <w:rPr>
          <w:color w:val="auto"/>
        </w:rPr>
      </w:pPr>
      <w:r w:rsidRPr="00DD068B">
        <w:rPr>
          <w:rFonts w:cs="Arial"/>
          <w:color w:val="auto"/>
          <w:shd w:val="clear" w:color="auto" w:fill="FFFFFF"/>
        </w:rPr>
        <w:t>A Constitution Direction was issued by the Secretary of State in December 2000 that required around 80 matters to be included within constitutions, covering members' allowances schemes, details of procedures for meetings, details of joint arrangements with other local authorities and a description of the rights of inhabitants of the area, amongst other things.</w:t>
      </w:r>
    </w:p>
    <w:p w14:paraId="116966E5" w14:textId="77777777" w:rsidR="00DD068B" w:rsidRDefault="00DD068B" w:rsidP="00DD068B">
      <w:pPr>
        <w:spacing w:after="0"/>
      </w:pPr>
    </w:p>
    <w:p w14:paraId="139D20AF" w14:textId="77777777" w:rsidR="00E87F7A" w:rsidRDefault="00CE6151" w:rsidP="00C67700">
      <w:pPr>
        <w:pStyle w:val="ListParagraph"/>
        <w:numPr>
          <w:ilvl w:val="0"/>
          <w:numId w:val="34"/>
        </w:numPr>
        <w:tabs>
          <w:tab w:val="clear" w:pos="426"/>
        </w:tabs>
        <w:spacing w:after="0"/>
        <w:ind w:left="426" w:hanging="426"/>
        <w:rPr>
          <w:rStyle w:val="ListParagraphChar"/>
        </w:rPr>
      </w:pPr>
      <w:r>
        <w:t xml:space="preserve">As set out in paragraph 12 </w:t>
      </w:r>
      <w:r w:rsidR="00E039CD">
        <w:t>t</w:t>
      </w:r>
      <w:r w:rsidR="001A5A60">
        <w:t xml:space="preserve">he Monitoring Officer has delegated authority to </w:t>
      </w:r>
      <w:r w:rsidR="001A5A60" w:rsidRPr="00E715C7">
        <w:rPr>
          <w:rStyle w:val="ListParagraphChar"/>
        </w:rPr>
        <w:t>make any changes necessary to ensure the Constitution continues to reflect the law</w:t>
      </w:r>
      <w:r w:rsidR="001A5A60">
        <w:rPr>
          <w:rStyle w:val="ListParagraphChar"/>
        </w:rPr>
        <w:t xml:space="preserve">.  </w:t>
      </w:r>
    </w:p>
    <w:p w14:paraId="0DFB839D" w14:textId="77777777" w:rsidR="00DD068B" w:rsidRDefault="00DD068B" w:rsidP="00DD068B">
      <w:pPr>
        <w:spacing w:after="0"/>
        <w:rPr>
          <w:rStyle w:val="ListParagraphChar"/>
        </w:rPr>
      </w:pPr>
    </w:p>
    <w:p w14:paraId="04F4CDB2" w14:textId="77777777" w:rsidR="00DD068B" w:rsidRDefault="00DD068B" w:rsidP="00C67700">
      <w:pPr>
        <w:pStyle w:val="ListParagraph"/>
        <w:numPr>
          <w:ilvl w:val="0"/>
          <w:numId w:val="34"/>
        </w:numPr>
        <w:tabs>
          <w:tab w:val="clear" w:pos="426"/>
        </w:tabs>
        <w:spacing w:after="0"/>
        <w:ind w:left="426" w:hanging="426"/>
        <w:rPr>
          <w:rStyle w:val="ListParagraphChar"/>
        </w:rPr>
      </w:pPr>
      <w:r>
        <w:rPr>
          <w:rStyle w:val="ListParagraphChar"/>
        </w:rPr>
        <w:t>There no other legal issues arising from the recommendations contained in this report.</w:t>
      </w:r>
    </w:p>
    <w:p w14:paraId="3E83C6DC" w14:textId="77777777" w:rsidR="009D469F" w:rsidRDefault="009D469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45427D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070AB4E"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68B0D1" w14:textId="77777777" w:rsidR="00E87F7A" w:rsidRPr="001356F1" w:rsidRDefault="00C95E1A" w:rsidP="00A46E98">
            <w:r>
              <w:t>Emma Griffiths</w:t>
            </w:r>
          </w:p>
        </w:tc>
      </w:tr>
      <w:tr w:rsidR="00DF093E" w:rsidRPr="001356F1" w14:paraId="170D573A"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B88CB0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9E2A629" w14:textId="77777777" w:rsidR="00E87F7A" w:rsidRPr="001356F1" w:rsidRDefault="00C95E1A" w:rsidP="00A46E98">
            <w:r>
              <w:t>Lawyer</w:t>
            </w:r>
          </w:p>
        </w:tc>
      </w:tr>
      <w:tr w:rsidR="00DF093E" w:rsidRPr="001356F1" w14:paraId="0A1277BD" w14:textId="77777777" w:rsidTr="00A46E98">
        <w:trPr>
          <w:cantSplit/>
          <w:trHeight w:val="396"/>
        </w:trPr>
        <w:tc>
          <w:tcPr>
            <w:tcW w:w="3969" w:type="dxa"/>
            <w:tcBorders>
              <w:top w:val="nil"/>
              <w:left w:val="single" w:sz="8" w:space="0" w:color="000000"/>
              <w:bottom w:val="nil"/>
              <w:right w:val="nil"/>
            </w:tcBorders>
            <w:shd w:val="clear" w:color="auto" w:fill="auto"/>
          </w:tcPr>
          <w:p w14:paraId="75D807DC"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7BB2812C" w14:textId="77777777" w:rsidR="00E87F7A" w:rsidRPr="001356F1" w:rsidRDefault="00D3675F" w:rsidP="00A46E98">
            <w:r>
              <w:t>Law and Governance</w:t>
            </w:r>
          </w:p>
        </w:tc>
      </w:tr>
      <w:tr w:rsidR="00DF093E" w:rsidRPr="001356F1" w14:paraId="29101653" w14:textId="77777777" w:rsidTr="00A46E98">
        <w:trPr>
          <w:cantSplit/>
          <w:trHeight w:val="396"/>
        </w:trPr>
        <w:tc>
          <w:tcPr>
            <w:tcW w:w="3969" w:type="dxa"/>
            <w:tcBorders>
              <w:top w:val="nil"/>
              <w:left w:val="single" w:sz="8" w:space="0" w:color="000000"/>
              <w:bottom w:val="nil"/>
              <w:right w:val="nil"/>
            </w:tcBorders>
            <w:shd w:val="clear" w:color="auto" w:fill="auto"/>
          </w:tcPr>
          <w:p w14:paraId="01883FC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303EFB6" w14:textId="77777777" w:rsidR="00E87F7A" w:rsidRPr="001356F1" w:rsidRDefault="00D3675F" w:rsidP="00C73D6B">
            <w:r w:rsidRPr="00C73D6B">
              <w:rPr>
                <w:color w:val="auto"/>
              </w:rPr>
              <w:t>01865 25</w:t>
            </w:r>
            <w:r w:rsidR="00C73D6B" w:rsidRPr="00C73D6B">
              <w:rPr>
                <w:color w:val="auto"/>
              </w:rPr>
              <w:t>2208</w:t>
            </w:r>
          </w:p>
        </w:tc>
      </w:tr>
      <w:tr w:rsidR="005570B5" w:rsidRPr="001356F1" w14:paraId="52048B5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935411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B0F38D8" w14:textId="77777777" w:rsidR="003530FF" w:rsidRPr="001356F1" w:rsidRDefault="00496A3F" w:rsidP="003530FF">
            <w:pPr>
              <w:rPr>
                <w:rStyle w:val="Hyperlink"/>
                <w:color w:val="000000"/>
              </w:rPr>
            </w:pPr>
            <w:hyperlink r:id="rId8" w:history="1">
              <w:r w:rsidR="003530FF" w:rsidRPr="001C4417">
                <w:rPr>
                  <w:rStyle w:val="Hyperlink"/>
                </w:rPr>
                <w:t>egriffiths@oxford.gov.uk</w:t>
              </w:r>
            </w:hyperlink>
          </w:p>
        </w:tc>
      </w:tr>
    </w:tbl>
    <w:p w14:paraId="136340E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C7217C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61BDE11E"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00661D7" w14:textId="77777777" w:rsidR="004456DD" w:rsidRPr="009E51FC" w:rsidRDefault="004456DD" w:rsidP="003530FF"/>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68B5F" w14:textId="77777777" w:rsidR="003C5B80" w:rsidRDefault="003C5B80" w:rsidP="004A6D2F">
      <w:r>
        <w:separator/>
      </w:r>
    </w:p>
  </w:endnote>
  <w:endnote w:type="continuationSeparator" w:id="0">
    <w:p w14:paraId="57F608E2" w14:textId="77777777" w:rsidR="003C5B80" w:rsidRDefault="003C5B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434DE" w14:textId="77777777" w:rsidR="00364FAD" w:rsidRDefault="00364FAD" w:rsidP="004A6D2F">
    <w:pPr>
      <w:pStyle w:val="Footer"/>
    </w:pPr>
    <w:r>
      <w:t>Do not use a footer or page numbers.</w:t>
    </w:r>
  </w:p>
  <w:p w14:paraId="6B9CF346" w14:textId="77777777" w:rsidR="00364FAD" w:rsidRDefault="00364FAD" w:rsidP="004A6D2F">
    <w:pPr>
      <w:pStyle w:val="Footer"/>
    </w:pPr>
  </w:p>
  <w:p w14:paraId="7F2DC155"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CBAD0"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5C3AE" w14:textId="77777777" w:rsidR="003C5B80" w:rsidRDefault="003C5B80" w:rsidP="004A6D2F">
      <w:r>
        <w:separator/>
      </w:r>
    </w:p>
  </w:footnote>
  <w:footnote w:type="continuationSeparator" w:id="0">
    <w:p w14:paraId="4E3B2D54" w14:textId="77777777" w:rsidR="003C5B80" w:rsidRDefault="003C5B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36D3" w14:textId="77777777" w:rsidR="00D5547E" w:rsidRDefault="00B67CCB" w:rsidP="00D5547E">
    <w:pPr>
      <w:pStyle w:val="Header"/>
      <w:jc w:val="right"/>
    </w:pPr>
    <w:r>
      <w:rPr>
        <w:noProof/>
      </w:rPr>
      <w:drawing>
        <wp:inline distT="0" distB="0" distL="0" distR="0" wp14:anchorId="08289725" wp14:editId="183B0C48">
          <wp:extent cx="843280" cy="1117600"/>
          <wp:effectExtent l="0" t="0" r="0" b="635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8EA1C25"/>
    <w:multiLevelType w:val="hybridMultilevel"/>
    <w:tmpl w:val="FBAED67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CE631F"/>
    <w:multiLevelType w:val="hybridMultilevel"/>
    <w:tmpl w:val="DF8A3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0F83F66"/>
    <w:multiLevelType w:val="hybridMultilevel"/>
    <w:tmpl w:val="96BAC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324C51"/>
    <w:multiLevelType w:val="hybridMultilevel"/>
    <w:tmpl w:val="024C5B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1A2020A"/>
    <w:multiLevelType w:val="hybridMultilevel"/>
    <w:tmpl w:val="B0AC2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263A6A"/>
    <w:multiLevelType w:val="multilevel"/>
    <w:tmpl w:val="43D6D2FA"/>
    <w:numStyleLink w:val="StyleBulletedSymbolsymbolLeft063cmHanging063cm"/>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127E85"/>
    <w:multiLevelType w:val="hybridMultilevel"/>
    <w:tmpl w:val="80B06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097197"/>
    <w:multiLevelType w:val="hybridMultilevel"/>
    <w:tmpl w:val="D32A713E"/>
    <w:lvl w:ilvl="0" w:tplc="D8B65CD0">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843AC"/>
    <w:multiLevelType w:val="hybridMultilevel"/>
    <w:tmpl w:val="C75238B2"/>
    <w:lvl w:ilvl="0" w:tplc="153E4C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5347414"/>
    <w:multiLevelType w:val="hybridMultilevel"/>
    <w:tmpl w:val="D460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AC172C"/>
    <w:multiLevelType w:val="hybridMultilevel"/>
    <w:tmpl w:val="6E44A598"/>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B404E"/>
    <w:multiLevelType w:val="hybridMultilevel"/>
    <w:tmpl w:val="BD5AA0A0"/>
    <w:lvl w:ilvl="0" w:tplc="0809001B">
      <w:start w:val="1"/>
      <w:numFmt w:val="lowerRoman"/>
      <w:lvlText w:val="%1."/>
      <w:lvlJc w:val="righ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6C496989"/>
    <w:multiLevelType w:val="singleLevel"/>
    <w:tmpl w:val="0809000F"/>
    <w:lvl w:ilvl="0">
      <w:start w:val="1"/>
      <w:numFmt w:val="decimal"/>
      <w:lvlText w:val="%1."/>
      <w:lvlJc w:val="left"/>
      <w:pPr>
        <w:ind w:left="360" w:hanging="360"/>
      </w:pPr>
      <w:rPr>
        <w:color w:val="000000"/>
        <w:sz w:val="24"/>
      </w:rPr>
    </w:lvl>
  </w:abstractNum>
  <w:abstractNum w:abstractNumId="4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931B3A"/>
    <w:multiLevelType w:val="hybridMultilevel"/>
    <w:tmpl w:val="FBE8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29"/>
  </w:num>
  <w:num w:numId="4">
    <w:abstractNumId w:val="23"/>
  </w:num>
  <w:num w:numId="5">
    <w:abstractNumId w:val="37"/>
  </w:num>
  <w:num w:numId="6">
    <w:abstractNumId w:val="43"/>
  </w:num>
  <w:num w:numId="7">
    <w:abstractNumId w:val="28"/>
  </w:num>
  <w:num w:numId="8">
    <w:abstractNumId w:val="25"/>
  </w:num>
  <w:num w:numId="9">
    <w:abstractNumId w:val="14"/>
  </w:num>
  <w:num w:numId="10">
    <w:abstractNumId w:val="19"/>
  </w:num>
  <w:num w:numId="11">
    <w:abstractNumId w:val="31"/>
  </w:num>
  <w:num w:numId="12">
    <w:abstractNumId w:val="30"/>
  </w:num>
  <w:num w:numId="13">
    <w:abstractNumId w:val="10"/>
  </w:num>
  <w:num w:numId="14">
    <w:abstractNumId w:val="42"/>
  </w:num>
  <w:num w:numId="15">
    <w:abstractNumId w:val="20"/>
  </w:num>
  <w:num w:numId="16">
    <w:abstractNumId w:val="11"/>
  </w:num>
  <w:num w:numId="17">
    <w:abstractNumId w:val="36"/>
  </w:num>
  <w:num w:numId="18">
    <w:abstractNumId w:val="12"/>
  </w:num>
  <w:num w:numId="19">
    <w:abstractNumId w:val="38"/>
  </w:num>
  <w:num w:numId="20">
    <w:abstractNumId w:val="22"/>
  </w:num>
  <w:num w:numId="21">
    <w:abstractNumId w:val="26"/>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18"/>
  </w:num>
  <w:num w:numId="36">
    <w:abstractNumId w:val="17"/>
  </w:num>
  <w:num w:numId="37">
    <w:abstractNumId w:val="27"/>
  </w:num>
  <w:num w:numId="38">
    <w:abstractNumId w:val="16"/>
  </w:num>
  <w:num w:numId="39">
    <w:abstractNumId w:val="21"/>
  </w:num>
  <w:num w:numId="40">
    <w:abstractNumId w:val="24"/>
  </w:num>
  <w:num w:numId="41">
    <w:abstractNumId w:val="44"/>
  </w:num>
  <w:num w:numId="42">
    <w:abstractNumId w:val="33"/>
  </w:num>
  <w:num w:numId="43">
    <w:abstractNumId w:val="1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B"/>
    <w:rsid w:val="000117D4"/>
    <w:rsid w:val="00016E46"/>
    <w:rsid w:val="000314D7"/>
    <w:rsid w:val="00035886"/>
    <w:rsid w:val="00045F8B"/>
    <w:rsid w:val="000460A9"/>
    <w:rsid w:val="00046D2B"/>
    <w:rsid w:val="000538D7"/>
    <w:rsid w:val="00056263"/>
    <w:rsid w:val="00062BB1"/>
    <w:rsid w:val="00064D8A"/>
    <w:rsid w:val="00064F82"/>
    <w:rsid w:val="00066510"/>
    <w:rsid w:val="00067D6C"/>
    <w:rsid w:val="00073534"/>
    <w:rsid w:val="0007365E"/>
    <w:rsid w:val="00077523"/>
    <w:rsid w:val="0009187A"/>
    <w:rsid w:val="000A6176"/>
    <w:rsid w:val="000C089F"/>
    <w:rsid w:val="000C3928"/>
    <w:rsid w:val="000C5E8E"/>
    <w:rsid w:val="000E2EB7"/>
    <w:rsid w:val="000F4751"/>
    <w:rsid w:val="0010524C"/>
    <w:rsid w:val="00111FB1"/>
    <w:rsid w:val="00113418"/>
    <w:rsid w:val="0013357B"/>
    <w:rsid w:val="001356F1"/>
    <w:rsid w:val="00136994"/>
    <w:rsid w:val="0014128E"/>
    <w:rsid w:val="00151888"/>
    <w:rsid w:val="00170A2D"/>
    <w:rsid w:val="001808BC"/>
    <w:rsid w:val="00182B81"/>
    <w:rsid w:val="0018619D"/>
    <w:rsid w:val="001A011E"/>
    <w:rsid w:val="001A066A"/>
    <w:rsid w:val="001A13E6"/>
    <w:rsid w:val="001A5731"/>
    <w:rsid w:val="001A5A60"/>
    <w:rsid w:val="001B42C3"/>
    <w:rsid w:val="001C1592"/>
    <w:rsid w:val="001C58AF"/>
    <w:rsid w:val="001C5D5E"/>
    <w:rsid w:val="001D552E"/>
    <w:rsid w:val="001D678D"/>
    <w:rsid w:val="001E03F8"/>
    <w:rsid w:val="001E1678"/>
    <w:rsid w:val="001E3376"/>
    <w:rsid w:val="002069B3"/>
    <w:rsid w:val="00220DB9"/>
    <w:rsid w:val="002329CF"/>
    <w:rsid w:val="00232F5B"/>
    <w:rsid w:val="00247C29"/>
    <w:rsid w:val="00260467"/>
    <w:rsid w:val="00263EA3"/>
    <w:rsid w:val="00270C92"/>
    <w:rsid w:val="00273A5E"/>
    <w:rsid w:val="002807EC"/>
    <w:rsid w:val="00284F85"/>
    <w:rsid w:val="00290915"/>
    <w:rsid w:val="00290FF8"/>
    <w:rsid w:val="00293B07"/>
    <w:rsid w:val="00295311"/>
    <w:rsid w:val="002A22E2"/>
    <w:rsid w:val="002C01CC"/>
    <w:rsid w:val="002C64F7"/>
    <w:rsid w:val="002D6F34"/>
    <w:rsid w:val="002F41F2"/>
    <w:rsid w:val="00301BF3"/>
    <w:rsid w:val="0030208D"/>
    <w:rsid w:val="00323418"/>
    <w:rsid w:val="003357BF"/>
    <w:rsid w:val="00342E15"/>
    <w:rsid w:val="0034623D"/>
    <w:rsid w:val="003530FF"/>
    <w:rsid w:val="0035525B"/>
    <w:rsid w:val="00364FAD"/>
    <w:rsid w:val="0036738F"/>
    <w:rsid w:val="0036759C"/>
    <w:rsid w:val="00367AE5"/>
    <w:rsid w:val="00367D71"/>
    <w:rsid w:val="0038150A"/>
    <w:rsid w:val="003846A1"/>
    <w:rsid w:val="003A05CF"/>
    <w:rsid w:val="003A6895"/>
    <w:rsid w:val="003B6E75"/>
    <w:rsid w:val="003B7DA1"/>
    <w:rsid w:val="003C3C1C"/>
    <w:rsid w:val="003C5B80"/>
    <w:rsid w:val="003D0379"/>
    <w:rsid w:val="003D2574"/>
    <w:rsid w:val="003D4C59"/>
    <w:rsid w:val="003F0CC9"/>
    <w:rsid w:val="003F158B"/>
    <w:rsid w:val="003F251A"/>
    <w:rsid w:val="003F4267"/>
    <w:rsid w:val="00404032"/>
    <w:rsid w:val="00404DC2"/>
    <w:rsid w:val="0040736F"/>
    <w:rsid w:val="004105FA"/>
    <w:rsid w:val="00412C1F"/>
    <w:rsid w:val="00421CB2"/>
    <w:rsid w:val="004268B9"/>
    <w:rsid w:val="00431541"/>
    <w:rsid w:val="004337A7"/>
    <w:rsid w:val="00433B96"/>
    <w:rsid w:val="004440F1"/>
    <w:rsid w:val="004456DD"/>
    <w:rsid w:val="00446CDF"/>
    <w:rsid w:val="004521B7"/>
    <w:rsid w:val="004574B8"/>
    <w:rsid w:val="00462AB5"/>
    <w:rsid w:val="00465EAF"/>
    <w:rsid w:val="004738C5"/>
    <w:rsid w:val="0047787E"/>
    <w:rsid w:val="00491046"/>
    <w:rsid w:val="00496A3F"/>
    <w:rsid w:val="004A2AC7"/>
    <w:rsid w:val="004A37C5"/>
    <w:rsid w:val="004A6D2F"/>
    <w:rsid w:val="004B0A59"/>
    <w:rsid w:val="004C2887"/>
    <w:rsid w:val="004D2626"/>
    <w:rsid w:val="004D6E26"/>
    <w:rsid w:val="004D77D3"/>
    <w:rsid w:val="004E2959"/>
    <w:rsid w:val="004F20EF"/>
    <w:rsid w:val="0050321C"/>
    <w:rsid w:val="00513B54"/>
    <w:rsid w:val="00527ABF"/>
    <w:rsid w:val="0054712D"/>
    <w:rsid w:val="00547EF6"/>
    <w:rsid w:val="00555AFA"/>
    <w:rsid w:val="005570B5"/>
    <w:rsid w:val="005620B4"/>
    <w:rsid w:val="00567E18"/>
    <w:rsid w:val="00575F5F"/>
    <w:rsid w:val="00581805"/>
    <w:rsid w:val="00585F76"/>
    <w:rsid w:val="0059784C"/>
    <w:rsid w:val="005A34E4"/>
    <w:rsid w:val="005A4D55"/>
    <w:rsid w:val="005B17F2"/>
    <w:rsid w:val="005B7FB0"/>
    <w:rsid w:val="005C35A5"/>
    <w:rsid w:val="005C577C"/>
    <w:rsid w:val="005C7FBE"/>
    <w:rsid w:val="005D0621"/>
    <w:rsid w:val="005D1E27"/>
    <w:rsid w:val="005D2A3E"/>
    <w:rsid w:val="005E022E"/>
    <w:rsid w:val="005E5215"/>
    <w:rsid w:val="005E5D3A"/>
    <w:rsid w:val="005F61A7"/>
    <w:rsid w:val="005F7F7E"/>
    <w:rsid w:val="00607003"/>
    <w:rsid w:val="00614018"/>
    <w:rsid w:val="00614693"/>
    <w:rsid w:val="00623C2F"/>
    <w:rsid w:val="00625BFC"/>
    <w:rsid w:val="00633578"/>
    <w:rsid w:val="00637068"/>
    <w:rsid w:val="00645BB8"/>
    <w:rsid w:val="00650811"/>
    <w:rsid w:val="00656186"/>
    <w:rsid w:val="00661D3E"/>
    <w:rsid w:val="006904A6"/>
    <w:rsid w:val="00692627"/>
    <w:rsid w:val="0069476D"/>
    <w:rsid w:val="006969E7"/>
    <w:rsid w:val="006A3643"/>
    <w:rsid w:val="006A5CCC"/>
    <w:rsid w:val="006B2AD0"/>
    <w:rsid w:val="006C2A29"/>
    <w:rsid w:val="006C64CF"/>
    <w:rsid w:val="006D17B1"/>
    <w:rsid w:val="006D4752"/>
    <w:rsid w:val="006D708A"/>
    <w:rsid w:val="006E14C1"/>
    <w:rsid w:val="006F0292"/>
    <w:rsid w:val="006F27FA"/>
    <w:rsid w:val="006F416B"/>
    <w:rsid w:val="006F519B"/>
    <w:rsid w:val="00701BCE"/>
    <w:rsid w:val="00703136"/>
    <w:rsid w:val="00713675"/>
    <w:rsid w:val="007151B0"/>
    <w:rsid w:val="00715823"/>
    <w:rsid w:val="007322EC"/>
    <w:rsid w:val="00733CB3"/>
    <w:rsid w:val="00737B93"/>
    <w:rsid w:val="00745BF0"/>
    <w:rsid w:val="007615FE"/>
    <w:rsid w:val="007637BE"/>
    <w:rsid w:val="0076655C"/>
    <w:rsid w:val="007742DC"/>
    <w:rsid w:val="00790301"/>
    <w:rsid w:val="00791437"/>
    <w:rsid w:val="00793E1B"/>
    <w:rsid w:val="007A2E34"/>
    <w:rsid w:val="007B0C2C"/>
    <w:rsid w:val="007B278E"/>
    <w:rsid w:val="007B47A7"/>
    <w:rsid w:val="007C38BE"/>
    <w:rsid w:val="007C5C23"/>
    <w:rsid w:val="007E2A26"/>
    <w:rsid w:val="007F2348"/>
    <w:rsid w:val="00803F07"/>
    <w:rsid w:val="00805E26"/>
    <w:rsid w:val="0080749A"/>
    <w:rsid w:val="0080783C"/>
    <w:rsid w:val="00811B14"/>
    <w:rsid w:val="00821FB8"/>
    <w:rsid w:val="00822ACD"/>
    <w:rsid w:val="00825F6F"/>
    <w:rsid w:val="00835BF4"/>
    <w:rsid w:val="008411D8"/>
    <w:rsid w:val="00843555"/>
    <w:rsid w:val="00855C66"/>
    <w:rsid w:val="00871EE4"/>
    <w:rsid w:val="00881D31"/>
    <w:rsid w:val="00892591"/>
    <w:rsid w:val="008A528A"/>
    <w:rsid w:val="008A5929"/>
    <w:rsid w:val="008B293F"/>
    <w:rsid w:val="008B7371"/>
    <w:rsid w:val="008D3DDB"/>
    <w:rsid w:val="008D3F98"/>
    <w:rsid w:val="008F573F"/>
    <w:rsid w:val="009034EC"/>
    <w:rsid w:val="00912718"/>
    <w:rsid w:val="00916D33"/>
    <w:rsid w:val="0093067A"/>
    <w:rsid w:val="009406A0"/>
    <w:rsid w:val="00941C60"/>
    <w:rsid w:val="00950F33"/>
    <w:rsid w:val="00962613"/>
    <w:rsid w:val="00966D42"/>
    <w:rsid w:val="00971689"/>
    <w:rsid w:val="00973E90"/>
    <w:rsid w:val="00975B07"/>
    <w:rsid w:val="00980B4A"/>
    <w:rsid w:val="00997B37"/>
    <w:rsid w:val="009A22F8"/>
    <w:rsid w:val="009B3081"/>
    <w:rsid w:val="009D469F"/>
    <w:rsid w:val="009E3D0A"/>
    <w:rsid w:val="009E51FC"/>
    <w:rsid w:val="009E5620"/>
    <w:rsid w:val="009F1D28"/>
    <w:rsid w:val="009F7618"/>
    <w:rsid w:val="00A04D23"/>
    <w:rsid w:val="00A06766"/>
    <w:rsid w:val="00A13765"/>
    <w:rsid w:val="00A21B12"/>
    <w:rsid w:val="00A23F80"/>
    <w:rsid w:val="00A46E98"/>
    <w:rsid w:val="00A4763B"/>
    <w:rsid w:val="00A575B1"/>
    <w:rsid w:val="00A6352B"/>
    <w:rsid w:val="00A701B5"/>
    <w:rsid w:val="00A714BB"/>
    <w:rsid w:val="00A834EE"/>
    <w:rsid w:val="00A92D8F"/>
    <w:rsid w:val="00AB1FBE"/>
    <w:rsid w:val="00AB20E8"/>
    <w:rsid w:val="00AB22F6"/>
    <w:rsid w:val="00AB2988"/>
    <w:rsid w:val="00AB7999"/>
    <w:rsid w:val="00AD3292"/>
    <w:rsid w:val="00AE7AF0"/>
    <w:rsid w:val="00B44489"/>
    <w:rsid w:val="00B47040"/>
    <w:rsid w:val="00B500CA"/>
    <w:rsid w:val="00B55E94"/>
    <w:rsid w:val="00B62505"/>
    <w:rsid w:val="00B67CCB"/>
    <w:rsid w:val="00B86314"/>
    <w:rsid w:val="00B918CC"/>
    <w:rsid w:val="00B936A5"/>
    <w:rsid w:val="00B95C3B"/>
    <w:rsid w:val="00BA0B0E"/>
    <w:rsid w:val="00BA115B"/>
    <w:rsid w:val="00BA1C2E"/>
    <w:rsid w:val="00BB4A96"/>
    <w:rsid w:val="00BC200B"/>
    <w:rsid w:val="00BC4756"/>
    <w:rsid w:val="00BC671D"/>
    <w:rsid w:val="00BC69A4"/>
    <w:rsid w:val="00BE0680"/>
    <w:rsid w:val="00BE305F"/>
    <w:rsid w:val="00BE7BA3"/>
    <w:rsid w:val="00BF4DE5"/>
    <w:rsid w:val="00BF5682"/>
    <w:rsid w:val="00BF7B09"/>
    <w:rsid w:val="00C042FA"/>
    <w:rsid w:val="00C123C3"/>
    <w:rsid w:val="00C12E98"/>
    <w:rsid w:val="00C20A95"/>
    <w:rsid w:val="00C246EF"/>
    <w:rsid w:val="00C2692F"/>
    <w:rsid w:val="00C3207C"/>
    <w:rsid w:val="00C400E1"/>
    <w:rsid w:val="00C41187"/>
    <w:rsid w:val="00C42752"/>
    <w:rsid w:val="00C51932"/>
    <w:rsid w:val="00C63C31"/>
    <w:rsid w:val="00C63C3B"/>
    <w:rsid w:val="00C67700"/>
    <w:rsid w:val="00C73D6B"/>
    <w:rsid w:val="00C757A0"/>
    <w:rsid w:val="00C760DE"/>
    <w:rsid w:val="00C82630"/>
    <w:rsid w:val="00C85B4E"/>
    <w:rsid w:val="00C907F7"/>
    <w:rsid w:val="00C95E1A"/>
    <w:rsid w:val="00CA2103"/>
    <w:rsid w:val="00CA5357"/>
    <w:rsid w:val="00CB6B99"/>
    <w:rsid w:val="00CE4C87"/>
    <w:rsid w:val="00CE544A"/>
    <w:rsid w:val="00CE6151"/>
    <w:rsid w:val="00D078A9"/>
    <w:rsid w:val="00D11E1C"/>
    <w:rsid w:val="00D160B0"/>
    <w:rsid w:val="00D17F94"/>
    <w:rsid w:val="00D21514"/>
    <w:rsid w:val="00D223FC"/>
    <w:rsid w:val="00D23EA2"/>
    <w:rsid w:val="00D23FCA"/>
    <w:rsid w:val="00D25AD1"/>
    <w:rsid w:val="00D26D1E"/>
    <w:rsid w:val="00D3675F"/>
    <w:rsid w:val="00D44F17"/>
    <w:rsid w:val="00D474CF"/>
    <w:rsid w:val="00D514E7"/>
    <w:rsid w:val="00D5547E"/>
    <w:rsid w:val="00D6291F"/>
    <w:rsid w:val="00D64035"/>
    <w:rsid w:val="00D84C7A"/>
    <w:rsid w:val="00D85237"/>
    <w:rsid w:val="00D869A1"/>
    <w:rsid w:val="00DA40E3"/>
    <w:rsid w:val="00DA413F"/>
    <w:rsid w:val="00DA4584"/>
    <w:rsid w:val="00DA614B"/>
    <w:rsid w:val="00DA68A1"/>
    <w:rsid w:val="00DB082D"/>
    <w:rsid w:val="00DC3060"/>
    <w:rsid w:val="00DC51F0"/>
    <w:rsid w:val="00DC7F59"/>
    <w:rsid w:val="00DD068B"/>
    <w:rsid w:val="00DE0FB2"/>
    <w:rsid w:val="00DF093E"/>
    <w:rsid w:val="00E01F42"/>
    <w:rsid w:val="00E039CD"/>
    <w:rsid w:val="00E206D6"/>
    <w:rsid w:val="00E20FA7"/>
    <w:rsid w:val="00E258F2"/>
    <w:rsid w:val="00E3366E"/>
    <w:rsid w:val="00E52086"/>
    <w:rsid w:val="00E543A6"/>
    <w:rsid w:val="00E60479"/>
    <w:rsid w:val="00E61D73"/>
    <w:rsid w:val="00E715C7"/>
    <w:rsid w:val="00E73684"/>
    <w:rsid w:val="00E775D9"/>
    <w:rsid w:val="00E818D6"/>
    <w:rsid w:val="00E87A20"/>
    <w:rsid w:val="00E87F7A"/>
    <w:rsid w:val="00E96BD7"/>
    <w:rsid w:val="00EA0DB1"/>
    <w:rsid w:val="00EA0EE9"/>
    <w:rsid w:val="00ED52CA"/>
    <w:rsid w:val="00ED5860"/>
    <w:rsid w:val="00EE35C9"/>
    <w:rsid w:val="00EF7492"/>
    <w:rsid w:val="00F05ECA"/>
    <w:rsid w:val="00F3566E"/>
    <w:rsid w:val="00F375FB"/>
    <w:rsid w:val="00F41AC1"/>
    <w:rsid w:val="00F4367A"/>
    <w:rsid w:val="00F440BF"/>
    <w:rsid w:val="00F445B1"/>
    <w:rsid w:val="00F45CD4"/>
    <w:rsid w:val="00F6310A"/>
    <w:rsid w:val="00F66DCA"/>
    <w:rsid w:val="00F74F53"/>
    <w:rsid w:val="00F750AD"/>
    <w:rsid w:val="00F7606D"/>
    <w:rsid w:val="00F81670"/>
    <w:rsid w:val="00F82024"/>
    <w:rsid w:val="00F95BC9"/>
    <w:rsid w:val="00F96D9E"/>
    <w:rsid w:val="00FA624C"/>
    <w:rsid w:val="00FA6720"/>
    <w:rsid w:val="00FB0487"/>
    <w:rsid w:val="00FB57B4"/>
    <w:rsid w:val="00FD0B6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04504A"/>
  <w15:docId w15:val="{6D593894-54AC-41CD-A9E6-3139DB07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39871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0002559">
      <w:bodyDiv w:val="1"/>
      <w:marLeft w:val="0"/>
      <w:marRight w:val="0"/>
      <w:marTop w:val="0"/>
      <w:marBottom w:val="0"/>
      <w:divBdr>
        <w:top w:val="none" w:sz="0" w:space="0" w:color="auto"/>
        <w:left w:val="none" w:sz="0" w:space="0" w:color="auto"/>
        <w:bottom w:val="none" w:sz="0" w:space="0" w:color="auto"/>
        <w:right w:val="none" w:sz="0" w:space="0" w:color="auto"/>
      </w:divBdr>
    </w:div>
    <w:div w:id="1839081207">
      <w:bodyDiv w:val="1"/>
      <w:marLeft w:val="0"/>
      <w:marRight w:val="0"/>
      <w:marTop w:val="0"/>
      <w:marBottom w:val="0"/>
      <w:divBdr>
        <w:top w:val="none" w:sz="0" w:space="0" w:color="auto"/>
        <w:left w:val="none" w:sz="0" w:space="0" w:color="auto"/>
        <w:bottom w:val="none" w:sz="0" w:space="0" w:color="auto"/>
        <w:right w:val="none" w:sz="0" w:space="0" w:color="auto"/>
      </w:divBdr>
    </w:div>
    <w:div w:id="21081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iffiths@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own2\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8424-EA70-433C-96B7-63263AC0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12</TotalTime>
  <Pages>6</Pages>
  <Words>1867</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BROWN Andrew J</cp:lastModifiedBy>
  <cp:revision>4</cp:revision>
  <cp:lastPrinted>2020-01-13T12:08:00Z</cp:lastPrinted>
  <dcterms:created xsi:type="dcterms:W3CDTF">2022-02-23T15:04:00Z</dcterms:created>
  <dcterms:modified xsi:type="dcterms:W3CDTF">2022-03-11T15:38:00Z</dcterms:modified>
</cp:coreProperties>
</file>